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A725E" w14:textId="6EC5DC44" w:rsidR="00B23A71" w:rsidRPr="00FA58EA" w:rsidRDefault="00B23A71" w:rsidP="00B23A71">
      <w:pPr>
        <w:spacing w:after="0"/>
        <w:jc w:val="both"/>
        <w:rPr>
          <w:b/>
          <w:color w:val="86789C"/>
          <w:sz w:val="36"/>
          <w:szCs w:val="36"/>
          <w:lang w:val="en-GB"/>
        </w:rPr>
      </w:pPr>
      <w:r w:rsidRPr="00FA58EA">
        <w:rPr>
          <w:b/>
          <w:noProof/>
          <w:color w:val="86789C"/>
          <w:sz w:val="36"/>
          <w:szCs w:val="36"/>
          <w:lang w:val="en-GB"/>
        </w:rPr>
        <w:drawing>
          <wp:anchor distT="0" distB="0" distL="114300" distR="114300" simplePos="0" relativeHeight="251664384" behindDoc="1" locked="0" layoutInCell="1" allowOverlap="1" wp14:anchorId="172D678C" wp14:editId="43EA3210">
            <wp:simplePos x="0" y="0"/>
            <wp:positionH relativeFrom="margin">
              <wp:align>left</wp:align>
            </wp:positionH>
            <wp:positionV relativeFrom="paragraph">
              <wp:posOffset>6927</wp:posOffset>
            </wp:positionV>
            <wp:extent cx="572135" cy="560705"/>
            <wp:effectExtent l="0" t="0" r="0" b="0"/>
            <wp:wrapTight wrapText="bothSides">
              <wp:wrapPolygon edited="0">
                <wp:start x="0" y="0"/>
                <wp:lineTo x="0" y="20548"/>
                <wp:lineTo x="20857" y="20548"/>
                <wp:lineTo x="2085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6244" cy="594298"/>
                    </a:xfrm>
                    <a:prstGeom prst="rect">
                      <a:avLst/>
                    </a:prstGeom>
                  </pic:spPr>
                </pic:pic>
              </a:graphicData>
            </a:graphic>
            <wp14:sizeRelH relativeFrom="margin">
              <wp14:pctWidth>0</wp14:pctWidth>
            </wp14:sizeRelH>
            <wp14:sizeRelV relativeFrom="margin">
              <wp14:pctHeight>0</wp14:pctHeight>
            </wp14:sizeRelV>
          </wp:anchor>
        </w:drawing>
      </w:r>
      <w:r w:rsidRPr="00FA58EA">
        <w:rPr>
          <w:b/>
          <w:color w:val="86789C"/>
          <w:sz w:val="36"/>
          <w:szCs w:val="36"/>
          <w:lang w:val="en-GB"/>
        </w:rPr>
        <w:t>Step 1: Needs</w:t>
      </w:r>
      <w:r w:rsidRPr="00B23A71">
        <w:rPr>
          <w:b/>
          <w:color w:val="86789C"/>
          <w:sz w:val="36"/>
          <w:szCs w:val="36"/>
          <w:lang w:val="en-GB"/>
        </w:rPr>
        <w:t xml:space="preserve"> </w:t>
      </w:r>
      <w:r w:rsidRPr="00FA58EA">
        <w:rPr>
          <w:b/>
          <w:color w:val="86789C"/>
          <w:sz w:val="36"/>
          <w:szCs w:val="36"/>
          <w:lang w:val="en-GB"/>
        </w:rPr>
        <w:t>Assessment</w:t>
      </w:r>
      <w:r>
        <w:rPr>
          <w:b/>
          <w:color w:val="86789C"/>
          <w:sz w:val="36"/>
          <w:szCs w:val="36"/>
          <w:lang w:val="en-GB"/>
        </w:rPr>
        <w:t>, Identification</w:t>
      </w:r>
      <w:r w:rsidRPr="00FA58EA">
        <w:rPr>
          <w:b/>
          <w:color w:val="86789C"/>
          <w:sz w:val="36"/>
          <w:szCs w:val="36"/>
          <w:lang w:val="en-GB"/>
        </w:rPr>
        <w:t xml:space="preserve"> </w:t>
      </w:r>
      <w:r>
        <w:rPr>
          <w:b/>
          <w:color w:val="86789C"/>
          <w:sz w:val="36"/>
          <w:szCs w:val="36"/>
          <w:lang w:val="en-GB"/>
        </w:rPr>
        <w:t>and</w:t>
      </w:r>
      <w:r w:rsidRPr="00FA58EA">
        <w:rPr>
          <w:b/>
          <w:color w:val="86789C"/>
          <w:sz w:val="36"/>
          <w:szCs w:val="36"/>
          <w:lang w:val="en-GB"/>
        </w:rPr>
        <w:t xml:space="preserve"> Analysis </w:t>
      </w:r>
    </w:p>
    <w:p w14:paraId="782EC372" w14:textId="393D73BA" w:rsidR="00027A53" w:rsidRPr="00027A53" w:rsidRDefault="00027A53" w:rsidP="00027A53">
      <w:pPr>
        <w:ind w:left="360"/>
        <w:jc w:val="both"/>
        <w:rPr>
          <w:bCs/>
          <w:color w:val="86789C"/>
          <w:sz w:val="36"/>
          <w:szCs w:val="36"/>
          <w:lang w:val="en-GB"/>
        </w:rPr>
      </w:pPr>
      <w:r w:rsidRPr="00027A53">
        <w:rPr>
          <w:bCs/>
          <w:color w:val="86789C"/>
          <w:sz w:val="36"/>
          <w:szCs w:val="36"/>
          <w:lang w:val="en-GB"/>
        </w:rPr>
        <w:t xml:space="preserve">Promising Practices </w:t>
      </w:r>
      <w:r>
        <w:rPr>
          <w:bCs/>
          <w:color w:val="86789C"/>
          <w:sz w:val="36"/>
          <w:szCs w:val="36"/>
          <w:lang w:val="en-GB"/>
        </w:rPr>
        <w:t>and</w:t>
      </w:r>
      <w:r w:rsidRPr="00027A53">
        <w:rPr>
          <w:bCs/>
          <w:color w:val="86789C"/>
          <w:sz w:val="36"/>
          <w:szCs w:val="36"/>
          <w:lang w:val="en-GB"/>
        </w:rPr>
        <w:t xml:space="preserve"> Resources from Country Clusters  </w:t>
      </w:r>
    </w:p>
    <w:p w14:paraId="5CDC49E8" w14:textId="3FA63239" w:rsidR="00435EEA" w:rsidRPr="00053970" w:rsidRDefault="00582913" w:rsidP="00150202">
      <w:pPr>
        <w:spacing w:before="240"/>
        <w:jc w:val="both"/>
        <w:rPr>
          <w:bCs/>
          <w:color w:val="9CC2E5" w:themeColor="accent5" w:themeTint="99"/>
          <w:sz w:val="36"/>
          <w:szCs w:val="36"/>
          <w:lang w:val="en-GB"/>
        </w:rPr>
      </w:pPr>
      <w:r w:rsidRPr="00053970">
        <w:rPr>
          <w:b/>
          <w:noProof/>
          <w:sz w:val="20"/>
          <w:szCs w:val="20"/>
          <w:lang w:val="en-GB"/>
        </w:rPr>
        <mc:AlternateContent>
          <mc:Choice Requires="wps">
            <w:drawing>
              <wp:anchor distT="0" distB="0" distL="114300" distR="114300" simplePos="0" relativeHeight="251661312" behindDoc="0" locked="0" layoutInCell="1" allowOverlap="1" wp14:anchorId="279EBBAE" wp14:editId="4D77023C">
                <wp:simplePos x="0" y="0"/>
                <wp:positionH relativeFrom="column">
                  <wp:posOffset>763600</wp:posOffset>
                </wp:positionH>
                <wp:positionV relativeFrom="paragraph">
                  <wp:posOffset>713105</wp:posOffset>
                </wp:positionV>
                <wp:extent cx="257175" cy="466725"/>
                <wp:effectExtent l="19050" t="0" r="47625" b="28575"/>
                <wp:wrapNone/>
                <wp:docPr id="2" name="Arrow: Chevron 2"/>
                <wp:cNvGraphicFramePr/>
                <a:graphic xmlns:a="http://schemas.openxmlformats.org/drawingml/2006/main">
                  <a:graphicData uri="http://schemas.microsoft.com/office/word/2010/wordprocessingShape">
                    <wps:wsp>
                      <wps:cNvSpPr/>
                      <wps:spPr>
                        <a:xfrm>
                          <a:off x="0" y="0"/>
                          <a:ext cx="257175" cy="466725"/>
                        </a:xfrm>
                        <a:prstGeom prst="chevron">
                          <a:avLst>
                            <a:gd name="adj" fmla="val 53092"/>
                          </a:avLst>
                        </a:prstGeom>
                        <a:solidFill>
                          <a:srgbClr val="86789C"/>
                        </a:solidFill>
                        <a:ln>
                          <a:solidFill>
                            <a:srgbClr val="86789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E516A9"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2" o:spid="_x0000_s1026" type="#_x0000_t55" style="position:absolute;margin-left:60.15pt;margin-top:56.15pt;width:20.2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" adj="10132" fillcolor="#86789c" strokecolor="#86789c" strokeweight=".5pt"/>
            </w:pict>
          </mc:Fallback>
        </mc:AlternateContent>
      </w:r>
      <w:r w:rsidR="00C62CE1" w:rsidRPr="00053970">
        <w:rPr>
          <w:bCs/>
          <w:lang w:val="en-GB"/>
        </w:rPr>
        <w:t xml:space="preserve">The following table contains promising practices of CP-EiE Collaboration from country clusters and where available, the resources they used. Examples are categorised following the </w:t>
      </w:r>
      <w:hyperlink r:id="rId9" w:history="1">
        <w:r w:rsidR="00C62CE1" w:rsidRPr="00053970">
          <w:rPr>
            <w:rStyle w:val="Hyperlink"/>
            <w:bCs/>
            <w:lang w:val="en-GB"/>
          </w:rPr>
          <w:t>CP-EiE Collaboration Framework</w:t>
        </w:r>
      </w:hyperlink>
      <w:r w:rsidR="00C62CE1" w:rsidRPr="00053970">
        <w:rPr>
          <w:bCs/>
          <w:lang w:val="en-GB"/>
        </w:rPr>
        <w:t xml:space="preserve"> </w:t>
      </w:r>
      <w:r w:rsidR="00B528FA">
        <w:rPr>
          <w:bCs/>
          <w:lang w:val="en-GB"/>
        </w:rPr>
        <w:t>steps</w:t>
      </w:r>
      <w:r w:rsidR="00C62CE1" w:rsidRPr="00053970">
        <w:rPr>
          <w:bCs/>
          <w:lang w:val="en-GB"/>
        </w:rPr>
        <w:t xml:space="preserve">. Global resources related to these steps are included at the end. </w:t>
      </w:r>
      <w:r w:rsidR="00C62CE1" w:rsidRPr="00053970">
        <w:rPr>
          <w:bCs/>
          <w:i/>
          <w:iCs/>
          <w:lang w:val="en-GB"/>
        </w:rPr>
        <w:t xml:space="preserve">This is a living compilation of promising practices; if you have examples or tools to </w:t>
      </w:r>
      <w:r w:rsidR="00027A53">
        <w:rPr>
          <w:bCs/>
          <w:i/>
          <w:iCs/>
          <w:lang w:val="en-GB"/>
        </w:rPr>
        <w:t>add</w:t>
      </w:r>
      <w:r w:rsidR="00C62CE1" w:rsidRPr="00053970">
        <w:rPr>
          <w:bCs/>
          <w:i/>
          <w:iCs/>
          <w:lang w:val="en-GB"/>
        </w:rPr>
        <w:t xml:space="preserve">, please </w:t>
      </w:r>
      <w:hyperlink r:id="rId10" w:history="1">
        <w:r w:rsidR="00C62CE1" w:rsidRPr="00053970">
          <w:rPr>
            <w:rStyle w:val="Hyperlink"/>
            <w:bCs/>
            <w:i/>
            <w:iCs/>
            <w:lang w:val="en-GB"/>
          </w:rPr>
          <w:t>get in contact</w:t>
        </w:r>
      </w:hyperlink>
      <w:r w:rsidR="00C62CE1" w:rsidRPr="00053970">
        <w:rPr>
          <w:bCs/>
          <w:i/>
          <w:iCs/>
          <w:lang w:val="en-GB"/>
        </w:rPr>
        <w:t xml:space="preserve"> with us!</w:t>
      </w:r>
    </w:p>
    <w:tbl>
      <w:tblPr>
        <w:tblStyle w:val="TableGrid"/>
        <w:tblW w:w="5646" w:type="pct"/>
        <w:tblInd w:w="-866" w:type="dxa"/>
        <w:tblBorders>
          <w:top w:val="single" w:sz="12" w:space="0" w:color="86789C"/>
          <w:left w:val="single" w:sz="12" w:space="0" w:color="86789C"/>
          <w:bottom w:val="single" w:sz="12" w:space="0" w:color="86789C"/>
          <w:right w:val="single" w:sz="12" w:space="0" w:color="86789C"/>
          <w:insideH w:val="single" w:sz="12" w:space="0" w:color="86789C"/>
          <w:insideV w:val="single" w:sz="12" w:space="0" w:color="86789C"/>
        </w:tblBorders>
        <w:tblLook w:val="04A0" w:firstRow="1" w:lastRow="0" w:firstColumn="1" w:lastColumn="0" w:noHBand="0" w:noVBand="1"/>
      </w:tblPr>
      <w:tblGrid>
        <w:gridCol w:w="2269"/>
        <w:gridCol w:w="2409"/>
        <w:gridCol w:w="2552"/>
        <w:gridCol w:w="7371"/>
      </w:tblGrid>
      <w:tr w:rsidR="00D827A3" w:rsidRPr="00053970" w14:paraId="3C7CD97F" w14:textId="77777777" w:rsidTr="00582913">
        <w:tc>
          <w:tcPr>
            <w:tcW w:w="777" w:type="pct"/>
            <w:vAlign w:val="center"/>
          </w:tcPr>
          <w:p w14:paraId="3CFD14A8" w14:textId="07870CD0" w:rsidR="001C17D1" w:rsidRPr="00027A53" w:rsidRDefault="00582913" w:rsidP="00B23A71">
            <w:pPr>
              <w:jc w:val="center"/>
              <w:rPr>
                <w:b/>
                <w:color w:val="86789C"/>
                <w:sz w:val="20"/>
                <w:szCs w:val="20"/>
                <w:lang w:val="en-GB"/>
              </w:rPr>
            </w:pPr>
            <w:r>
              <w:rPr>
                <w:b/>
                <w:color w:val="86789C"/>
                <w:sz w:val="20"/>
                <w:szCs w:val="20"/>
                <w:lang w:val="en-GB"/>
              </w:rPr>
              <w:t xml:space="preserve">1a. </w:t>
            </w:r>
            <w:r w:rsidR="001C17D1" w:rsidRPr="00027A53">
              <w:rPr>
                <w:b/>
                <w:color w:val="86789C"/>
                <w:sz w:val="20"/>
                <w:szCs w:val="20"/>
                <w:lang w:val="en-GB"/>
              </w:rPr>
              <w:t xml:space="preserve">Strategic </w:t>
            </w:r>
            <w:r>
              <w:rPr>
                <w:b/>
                <w:color w:val="86789C"/>
                <w:sz w:val="20"/>
                <w:szCs w:val="20"/>
                <w:lang w:val="en-GB"/>
              </w:rPr>
              <w:t xml:space="preserve">and </w:t>
            </w:r>
            <w:r w:rsidR="001C17D1" w:rsidRPr="00027A53">
              <w:rPr>
                <w:b/>
                <w:color w:val="86789C"/>
                <w:sz w:val="20"/>
                <w:szCs w:val="20"/>
                <w:lang w:val="en-GB"/>
              </w:rPr>
              <w:t>operational considerations</w:t>
            </w:r>
          </w:p>
        </w:tc>
        <w:tc>
          <w:tcPr>
            <w:tcW w:w="825" w:type="pct"/>
            <w:vAlign w:val="center"/>
          </w:tcPr>
          <w:p w14:paraId="540E36B7" w14:textId="788C03CA" w:rsidR="001C17D1" w:rsidRPr="00027A53" w:rsidRDefault="00582913" w:rsidP="00B23A71">
            <w:pPr>
              <w:jc w:val="center"/>
              <w:rPr>
                <w:b/>
                <w:color w:val="86789C"/>
                <w:sz w:val="20"/>
                <w:szCs w:val="20"/>
                <w:lang w:val="en-GB"/>
              </w:rPr>
            </w:pPr>
            <w:r w:rsidRPr="00053970">
              <w:rPr>
                <w:b/>
                <w:noProof/>
                <w:sz w:val="20"/>
                <w:szCs w:val="20"/>
                <w:lang w:val="en-GB"/>
              </w:rPr>
              <mc:AlternateContent>
                <mc:Choice Requires="wps">
                  <w:drawing>
                    <wp:anchor distT="0" distB="0" distL="114300" distR="114300" simplePos="0" relativeHeight="251662336" behindDoc="0" locked="0" layoutInCell="1" allowOverlap="1" wp14:anchorId="765B8F5D" wp14:editId="67543A43">
                      <wp:simplePos x="0" y="0"/>
                      <wp:positionH relativeFrom="column">
                        <wp:posOffset>1322070</wp:posOffset>
                      </wp:positionH>
                      <wp:positionV relativeFrom="paragraph">
                        <wp:posOffset>-5715</wp:posOffset>
                      </wp:positionV>
                      <wp:extent cx="257175" cy="466725"/>
                      <wp:effectExtent l="19050" t="0" r="47625" b="28575"/>
                      <wp:wrapNone/>
                      <wp:docPr id="3" name="Arrow: Chevron 3"/>
                      <wp:cNvGraphicFramePr/>
                      <a:graphic xmlns:a="http://schemas.openxmlformats.org/drawingml/2006/main">
                        <a:graphicData uri="http://schemas.microsoft.com/office/word/2010/wordprocessingShape">
                          <wps:wsp>
                            <wps:cNvSpPr/>
                            <wps:spPr>
                              <a:xfrm>
                                <a:off x="0" y="0"/>
                                <a:ext cx="257175" cy="466725"/>
                              </a:xfrm>
                              <a:prstGeom prst="chevron">
                                <a:avLst/>
                              </a:prstGeom>
                              <a:solidFill>
                                <a:srgbClr val="86789C"/>
                              </a:solidFill>
                              <a:ln>
                                <a:solidFill>
                                  <a:srgbClr val="86789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A79AA" id="Arrow: Chevron 3" o:spid="_x0000_s1026" type="#_x0000_t55" style="position:absolute;margin-left:104.1pt;margin-top:-.45pt;width:20.25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" adj="10800" fillcolor="#86789c" strokecolor="#86789c" strokeweight=".5pt"/>
                  </w:pict>
                </mc:Fallback>
              </mc:AlternateContent>
            </w:r>
            <w:r>
              <w:rPr>
                <w:b/>
                <w:color w:val="86789C"/>
                <w:sz w:val="20"/>
                <w:szCs w:val="20"/>
                <w:lang w:val="en-GB"/>
              </w:rPr>
              <w:t xml:space="preserve">1b. </w:t>
            </w:r>
            <w:r w:rsidR="001C17D1" w:rsidRPr="00027A53">
              <w:rPr>
                <w:b/>
                <w:color w:val="86789C"/>
                <w:sz w:val="20"/>
                <w:szCs w:val="20"/>
                <w:lang w:val="en-GB"/>
              </w:rPr>
              <w:t>Common understanding</w:t>
            </w:r>
          </w:p>
          <w:p w14:paraId="4055E179" w14:textId="77777777" w:rsidR="001C17D1" w:rsidRPr="00027A53" w:rsidRDefault="001C17D1" w:rsidP="00B23A71">
            <w:pPr>
              <w:jc w:val="center"/>
              <w:rPr>
                <w:b/>
                <w:color w:val="86789C"/>
                <w:sz w:val="20"/>
                <w:szCs w:val="20"/>
                <w:lang w:val="en-GB"/>
              </w:rPr>
            </w:pPr>
            <w:r w:rsidRPr="00027A53">
              <w:rPr>
                <w:b/>
                <w:color w:val="86789C"/>
                <w:sz w:val="20"/>
                <w:szCs w:val="20"/>
                <w:lang w:val="en-GB"/>
              </w:rPr>
              <w:t>of information needs</w:t>
            </w:r>
          </w:p>
        </w:tc>
        <w:tc>
          <w:tcPr>
            <w:tcW w:w="874" w:type="pct"/>
            <w:tcBorders>
              <w:right w:val="single" w:sz="12" w:space="0" w:color="FFFFFF" w:themeColor="background1"/>
            </w:tcBorders>
            <w:vAlign w:val="center"/>
          </w:tcPr>
          <w:p w14:paraId="39B7B460" w14:textId="4C8778C8" w:rsidR="001C17D1" w:rsidRPr="00027A53" w:rsidRDefault="00062153" w:rsidP="00062153">
            <w:pPr>
              <w:spacing w:before="240"/>
              <w:jc w:val="center"/>
              <w:rPr>
                <w:b/>
                <w:color w:val="86789C"/>
                <w:sz w:val="20"/>
                <w:szCs w:val="20"/>
                <w:lang w:val="en-GB"/>
              </w:rPr>
            </w:pPr>
            <w:r w:rsidRPr="00027A53">
              <w:rPr>
                <w:noProof/>
                <w:color w:val="86789C"/>
                <w:lang w:val="en-GB"/>
              </w:rPr>
              <mc:AlternateContent>
                <mc:Choice Requires="wps">
                  <w:drawing>
                    <wp:anchor distT="0" distB="0" distL="114300" distR="114300" simplePos="0" relativeHeight="251660288" behindDoc="0" locked="0" layoutInCell="1" allowOverlap="1" wp14:anchorId="0EA3A0D2" wp14:editId="18C4242A">
                      <wp:simplePos x="0" y="0"/>
                      <wp:positionH relativeFrom="column">
                        <wp:posOffset>1390650</wp:posOffset>
                      </wp:positionH>
                      <wp:positionV relativeFrom="page">
                        <wp:posOffset>42545</wp:posOffset>
                      </wp:positionV>
                      <wp:extent cx="390525" cy="390525"/>
                      <wp:effectExtent l="0" t="0" r="9525" b="9525"/>
                      <wp:wrapNone/>
                      <wp:docPr id="10" name="Circular Arrow 10"/>
                      <wp:cNvGraphicFramePr/>
                      <a:graphic xmlns:a="http://schemas.openxmlformats.org/drawingml/2006/main">
                        <a:graphicData uri="http://schemas.microsoft.com/office/word/2010/wordprocessingShape">
                          <wps:wsp>
                            <wps:cNvSpPr/>
                            <wps:spPr>
                              <a:xfrm rot="10800000">
                                <a:off x="0" y="0"/>
                                <a:ext cx="390525" cy="390525"/>
                              </a:xfrm>
                              <a:prstGeom prst="circularArrow">
                                <a:avLst/>
                              </a:prstGeom>
                              <a:solidFill>
                                <a:srgbClr val="86789C"/>
                              </a:solidFill>
                              <a:ln>
                                <a:solidFill>
                                  <a:srgbClr val="86789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BA3C0" id="Circular Arrow 10" o:spid="_x0000_s1026" style="position:absolute;margin-left:109.5pt;margin-top:3.35pt;width:30.75pt;height:30.75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3905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" path="m24408,195263v,-85039,62540,-157134,146727,-169143c255322,14111,335526,65843,359303,147491r23211,l341709,195262,284883,147491r22680,c284858,94116,227720,64097,170885,75683,114050,87269,73223,137259,73223,195263r-48815,xe" fillcolor="#86789c" strokecolor="#86789c" strokeweight=".5pt">
                      <v:stroke joinstyle="miter"/>
                      <v:path arrowok="t" o:connecttype="custom" o:connectlocs="24408,195263;171135,26120;359303,147491;382514,147491;341709,195262;284883,147491;307563,147491;170885,75683;73223,195263;24408,195263" o:connectangles="0,0,0,0,0,0,0,0,0,0"/>
                      <w10:wrap anchory="page"/>
                    </v:shape>
                  </w:pict>
                </mc:Fallback>
              </mc:AlternateContent>
            </w:r>
            <w:r w:rsidR="00582913">
              <w:rPr>
                <w:b/>
                <w:color w:val="86789C"/>
                <w:sz w:val="20"/>
                <w:szCs w:val="20"/>
                <w:lang w:val="en-GB"/>
              </w:rPr>
              <w:t xml:space="preserve">1c. </w:t>
            </w:r>
            <w:r w:rsidR="001C17D1" w:rsidRPr="00027A53">
              <w:rPr>
                <w:b/>
                <w:color w:val="86789C"/>
                <w:sz w:val="20"/>
                <w:szCs w:val="20"/>
                <w:lang w:val="en-GB"/>
              </w:rPr>
              <w:t>Joint data analysis</w:t>
            </w:r>
          </w:p>
        </w:tc>
        <w:tc>
          <w:tcPr>
            <w:tcW w:w="2524" w:type="pct"/>
            <w:tcBorders>
              <w:left w:val="single" w:sz="12" w:space="0" w:color="FFFFFF" w:themeColor="background1"/>
            </w:tcBorders>
            <w:vAlign w:val="center"/>
          </w:tcPr>
          <w:p w14:paraId="578FA369" w14:textId="79339FD4" w:rsidR="001C17D1" w:rsidRPr="00027A53" w:rsidRDefault="00062153" w:rsidP="00062153">
            <w:pPr>
              <w:spacing w:before="240"/>
              <w:ind w:firstLine="608"/>
              <w:rPr>
                <w:noProof/>
                <w:color w:val="86789C"/>
                <w:lang w:val="en-GB"/>
              </w:rPr>
            </w:pPr>
            <w:r w:rsidRPr="00027A53">
              <w:rPr>
                <w:noProof/>
                <w:color w:val="86789C"/>
                <w:lang w:val="en-GB"/>
              </w:rPr>
              <mc:AlternateContent>
                <mc:Choice Requires="wps">
                  <w:drawing>
                    <wp:anchor distT="0" distB="0" distL="114300" distR="114300" simplePos="0" relativeHeight="251666432" behindDoc="0" locked="0" layoutInCell="1" allowOverlap="1" wp14:anchorId="20BCF64F" wp14:editId="7F36F7AD">
                      <wp:simplePos x="0" y="0"/>
                      <wp:positionH relativeFrom="column">
                        <wp:posOffset>-237490</wp:posOffset>
                      </wp:positionH>
                      <wp:positionV relativeFrom="page">
                        <wp:posOffset>-31115</wp:posOffset>
                      </wp:positionV>
                      <wp:extent cx="390525" cy="438150"/>
                      <wp:effectExtent l="0" t="0" r="47625" b="0"/>
                      <wp:wrapNone/>
                      <wp:docPr id="48" name="Circular Arrow 10"/>
                      <wp:cNvGraphicFramePr/>
                      <a:graphic xmlns:a="http://schemas.openxmlformats.org/drawingml/2006/main">
                        <a:graphicData uri="http://schemas.microsoft.com/office/word/2010/wordprocessingShape">
                          <wps:wsp>
                            <wps:cNvSpPr/>
                            <wps:spPr>
                              <a:xfrm>
                                <a:off x="0" y="0"/>
                                <a:ext cx="390525" cy="438150"/>
                              </a:xfrm>
                              <a:prstGeom prst="circularArrow">
                                <a:avLst/>
                              </a:prstGeom>
                              <a:solidFill>
                                <a:srgbClr val="86789C"/>
                              </a:solidFill>
                              <a:ln>
                                <a:solidFill>
                                  <a:srgbClr val="86789C"/>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8A6C5" id="Circular Arrow 10" o:spid="_x0000_s1026" style="position:absolute;margin-left:-18.7pt;margin-top:-2.45pt;width:30.75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39052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" path="m24408,219075v,-95398,60676,-176740,143310,-192120c254998,10710,338733,73036,360743,170628r23728,l341709,219075,286840,170628r23532,c289580,100067,227490,59746,166641,77291,111838,93092,73223,151700,73223,219075r-48815,xe" fillcolor="#86789c" strokecolor="#86789c" strokeweight=".5pt">
                      <v:stroke joinstyle="miter"/>
                      <v:path arrowok="t" o:connecttype="custom" o:connectlocs="24408,219075;167718,26955;360743,170628;384471,170628;341709,219075;286840,170628;310372,170628;166641,77291;73223,219075;24408,219075" o:connectangles="0,0,0,0,0,0,0,0,0,0"/>
                      <w10:wrap anchory="page"/>
                    </v:shape>
                  </w:pict>
                </mc:Fallback>
              </mc:AlternateContent>
            </w:r>
            <w:r w:rsidR="00582913">
              <w:rPr>
                <w:b/>
                <w:color w:val="86789C"/>
                <w:sz w:val="20"/>
                <w:szCs w:val="20"/>
                <w:lang w:val="en-GB"/>
              </w:rPr>
              <w:t xml:space="preserve">1d. </w:t>
            </w:r>
            <w:r w:rsidR="001C17D1" w:rsidRPr="00027A53">
              <w:rPr>
                <w:b/>
                <w:color w:val="86789C"/>
                <w:sz w:val="20"/>
                <w:szCs w:val="20"/>
                <w:lang w:val="en-GB"/>
              </w:rPr>
              <w:t>Potential assessments</w:t>
            </w:r>
          </w:p>
        </w:tc>
      </w:tr>
      <w:tr w:rsidR="00D827A3" w:rsidRPr="00053970" w14:paraId="5CEC7544" w14:textId="77777777" w:rsidTr="00027A53">
        <w:tc>
          <w:tcPr>
            <w:tcW w:w="777" w:type="pct"/>
          </w:tcPr>
          <w:p w14:paraId="140AE665" w14:textId="3C013BB1" w:rsidR="001C17D1" w:rsidRPr="00053970" w:rsidRDefault="001C17D1" w:rsidP="00350F5F">
            <w:pPr>
              <w:spacing w:before="40" w:after="40"/>
              <w:rPr>
                <w:b/>
                <w:bCs/>
                <w:sz w:val="18"/>
                <w:szCs w:val="18"/>
                <w:lang w:val="en-GB"/>
              </w:rPr>
            </w:pPr>
          </w:p>
        </w:tc>
        <w:tc>
          <w:tcPr>
            <w:tcW w:w="825" w:type="pct"/>
          </w:tcPr>
          <w:p w14:paraId="774AA111" w14:textId="7467AE50" w:rsidR="001C17D1" w:rsidRPr="00053970" w:rsidRDefault="001C17D1" w:rsidP="001C17D1">
            <w:pPr>
              <w:pStyle w:val="ListParagraph"/>
              <w:numPr>
                <w:ilvl w:val="0"/>
                <w:numId w:val="8"/>
              </w:numPr>
              <w:spacing w:before="40"/>
              <w:ind w:left="312" w:hanging="284"/>
              <w:rPr>
                <w:sz w:val="20"/>
                <w:szCs w:val="20"/>
                <w:lang w:val="en-GB"/>
              </w:rPr>
            </w:pPr>
            <w:r w:rsidRPr="00053970">
              <w:rPr>
                <w:sz w:val="20"/>
                <w:szCs w:val="20"/>
                <w:lang w:val="en-GB"/>
              </w:rPr>
              <w:t>Information sharing and joint information gathering to create a shared understanding of needs: coordinators systematically share information, conduct joint field visits and joint partner and beneficiary consultation to inform common needs analysis (</w:t>
            </w:r>
            <w:r w:rsidRPr="00053970">
              <w:rPr>
                <w:b/>
                <w:bCs/>
                <w:sz w:val="20"/>
                <w:szCs w:val="20"/>
                <w:lang w:val="en-GB"/>
              </w:rPr>
              <w:t>oPt</w:t>
            </w:r>
            <w:r w:rsidRPr="00053970">
              <w:rPr>
                <w:sz w:val="20"/>
                <w:szCs w:val="20"/>
                <w:lang w:val="en-GB"/>
              </w:rPr>
              <w:t>)</w:t>
            </w:r>
          </w:p>
          <w:p w14:paraId="0511FE5E" w14:textId="48972C5F" w:rsidR="001C17D1" w:rsidRPr="00053970" w:rsidRDefault="001C17D1" w:rsidP="001C17D1">
            <w:pPr>
              <w:pStyle w:val="ListParagraph"/>
              <w:numPr>
                <w:ilvl w:val="0"/>
                <w:numId w:val="8"/>
              </w:numPr>
              <w:spacing w:before="40"/>
              <w:ind w:left="312" w:hanging="284"/>
              <w:rPr>
                <w:sz w:val="20"/>
                <w:szCs w:val="20"/>
                <w:lang w:val="en-GB"/>
              </w:rPr>
            </w:pPr>
            <w:r w:rsidRPr="00053970">
              <w:rPr>
                <w:sz w:val="20"/>
                <w:szCs w:val="20"/>
                <w:lang w:val="en-GB"/>
              </w:rPr>
              <w:t>Collaboration on cross-cutting issues (e.g. child labour in Gaza), which impacts both education and CP. Information sharing protocols were set up where cross-cutting information received from partners was shared from the receiving IM to both sector coordinators (</w:t>
            </w:r>
            <w:r w:rsidRPr="00053970">
              <w:rPr>
                <w:b/>
                <w:bCs/>
                <w:sz w:val="20"/>
                <w:szCs w:val="20"/>
                <w:lang w:val="en-GB"/>
              </w:rPr>
              <w:t>oPt</w:t>
            </w:r>
            <w:r w:rsidRPr="00053970">
              <w:rPr>
                <w:sz w:val="20"/>
                <w:szCs w:val="20"/>
                <w:lang w:val="en-GB"/>
              </w:rPr>
              <w:t>)</w:t>
            </w:r>
          </w:p>
          <w:p w14:paraId="52FDB648" w14:textId="4C140F16" w:rsidR="001C17D1" w:rsidRPr="00053970" w:rsidRDefault="001C17D1" w:rsidP="00A32227">
            <w:pPr>
              <w:pStyle w:val="ListParagraph"/>
              <w:numPr>
                <w:ilvl w:val="0"/>
                <w:numId w:val="8"/>
              </w:numPr>
              <w:spacing w:before="40"/>
              <w:ind w:left="312" w:hanging="284"/>
              <w:rPr>
                <w:sz w:val="20"/>
                <w:szCs w:val="20"/>
                <w:lang w:val="en-GB"/>
              </w:rPr>
            </w:pPr>
            <w:r w:rsidRPr="00053970">
              <w:rPr>
                <w:sz w:val="20"/>
                <w:szCs w:val="20"/>
                <w:lang w:val="en-GB"/>
              </w:rPr>
              <w:t xml:space="preserve">Information sharing to generate response (e.g. case </w:t>
            </w:r>
            <w:r w:rsidRPr="00053970">
              <w:rPr>
                <w:sz w:val="20"/>
                <w:szCs w:val="20"/>
                <w:lang w:val="en-GB"/>
              </w:rPr>
              <w:lastRenderedPageBreak/>
              <w:t>management referrals shared to CP, attacks on education shared to Educ</w:t>
            </w:r>
            <w:r w:rsidR="00D405B4" w:rsidRPr="00053970">
              <w:rPr>
                <w:sz w:val="20"/>
                <w:szCs w:val="20"/>
                <w:lang w:val="en-GB"/>
              </w:rPr>
              <w:t>a</w:t>
            </w:r>
            <w:r w:rsidRPr="00053970">
              <w:rPr>
                <w:sz w:val="20"/>
                <w:szCs w:val="20"/>
                <w:lang w:val="en-GB"/>
              </w:rPr>
              <w:t>tion, school incident requiring PFA support shared to CP for response) (</w:t>
            </w:r>
            <w:r w:rsidRPr="00053970">
              <w:rPr>
                <w:b/>
                <w:bCs/>
                <w:sz w:val="20"/>
                <w:szCs w:val="20"/>
                <w:lang w:val="en-GB"/>
              </w:rPr>
              <w:t>Ukraine</w:t>
            </w:r>
            <w:r w:rsidRPr="00053970">
              <w:rPr>
                <w:sz w:val="20"/>
                <w:szCs w:val="20"/>
                <w:lang w:val="en-GB"/>
              </w:rPr>
              <w:t>)</w:t>
            </w:r>
          </w:p>
        </w:tc>
        <w:tc>
          <w:tcPr>
            <w:tcW w:w="874" w:type="pct"/>
          </w:tcPr>
          <w:p w14:paraId="69901F4E" w14:textId="454E2F03" w:rsidR="000F7693" w:rsidRPr="00053970" w:rsidRDefault="000F7693" w:rsidP="000F7693">
            <w:pPr>
              <w:pStyle w:val="ListParagraph"/>
              <w:numPr>
                <w:ilvl w:val="0"/>
                <w:numId w:val="8"/>
              </w:numPr>
              <w:spacing w:before="40"/>
              <w:ind w:left="312" w:hanging="284"/>
              <w:rPr>
                <w:sz w:val="20"/>
                <w:szCs w:val="20"/>
                <w:lang w:val="en-GB"/>
              </w:rPr>
            </w:pPr>
            <w:r w:rsidRPr="00053970">
              <w:rPr>
                <w:sz w:val="20"/>
                <w:szCs w:val="20"/>
                <w:lang w:val="en-GB"/>
              </w:rPr>
              <w:lastRenderedPageBreak/>
              <w:t xml:space="preserve">Example </w:t>
            </w:r>
            <w:hyperlink r:id="rId11" w:history="1">
              <w:r w:rsidRPr="00053970">
                <w:rPr>
                  <w:rStyle w:val="Hyperlink"/>
                  <w:sz w:val="20"/>
                  <w:szCs w:val="20"/>
                  <w:lang w:val="en-GB"/>
                </w:rPr>
                <w:t>Joint SDR</w:t>
              </w:r>
            </w:hyperlink>
            <w:r w:rsidRPr="00053970">
              <w:rPr>
                <w:sz w:val="20"/>
                <w:szCs w:val="20"/>
                <w:lang w:val="en-GB"/>
              </w:rPr>
              <w:t xml:space="preserve"> (</w:t>
            </w:r>
            <w:r w:rsidRPr="00053970">
              <w:rPr>
                <w:b/>
                <w:sz w:val="20"/>
                <w:szCs w:val="20"/>
                <w:lang w:val="en-GB"/>
              </w:rPr>
              <w:t xml:space="preserve">Ukraine and DRC- </w:t>
            </w:r>
            <w:r w:rsidRPr="00053970">
              <w:rPr>
                <w:sz w:val="20"/>
                <w:szCs w:val="20"/>
                <w:lang w:val="en-GB"/>
              </w:rPr>
              <w:t>Kasai, 2016)</w:t>
            </w:r>
          </w:p>
          <w:p w14:paraId="41E0B195" w14:textId="3061F766" w:rsidR="001C17D1" w:rsidRPr="00053970" w:rsidRDefault="001C17D1" w:rsidP="000F7693">
            <w:pPr>
              <w:pStyle w:val="ListParagraph"/>
              <w:numPr>
                <w:ilvl w:val="0"/>
                <w:numId w:val="8"/>
              </w:numPr>
              <w:spacing w:before="40"/>
              <w:ind w:left="312" w:hanging="284"/>
              <w:rPr>
                <w:sz w:val="20"/>
                <w:szCs w:val="20"/>
                <w:lang w:val="en-GB"/>
              </w:rPr>
            </w:pPr>
            <w:r w:rsidRPr="00053970">
              <w:rPr>
                <w:sz w:val="20"/>
                <w:szCs w:val="20"/>
                <w:lang w:val="en-GB"/>
              </w:rPr>
              <w:t>Joint needs analysis (</w:t>
            </w:r>
            <w:r w:rsidRPr="00053970">
              <w:rPr>
                <w:b/>
                <w:bCs/>
                <w:sz w:val="20"/>
                <w:szCs w:val="20"/>
                <w:lang w:val="en-GB"/>
              </w:rPr>
              <w:t>oPt</w:t>
            </w:r>
            <w:r w:rsidRPr="00053970">
              <w:rPr>
                <w:sz w:val="20"/>
                <w:szCs w:val="20"/>
                <w:lang w:val="en-GB"/>
              </w:rPr>
              <w:t xml:space="preserve">, </w:t>
            </w:r>
            <w:r w:rsidRPr="00053970">
              <w:rPr>
                <w:b/>
                <w:bCs/>
                <w:sz w:val="20"/>
                <w:szCs w:val="20"/>
                <w:lang w:val="en-GB"/>
              </w:rPr>
              <w:t>Somalia</w:t>
            </w:r>
            <w:r w:rsidRPr="00053970">
              <w:rPr>
                <w:sz w:val="20"/>
                <w:szCs w:val="20"/>
                <w:lang w:val="en-GB"/>
              </w:rPr>
              <w:t>)</w:t>
            </w:r>
          </w:p>
          <w:p w14:paraId="640980F6" w14:textId="40B479CA" w:rsidR="001C17D1" w:rsidRPr="00053970" w:rsidRDefault="001C17D1" w:rsidP="000F7693">
            <w:pPr>
              <w:pStyle w:val="ListParagraph"/>
              <w:numPr>
                <w:ilvl w:val="0"/>
                <w:numId w:val="8"/>
              </w:numPr>
              <w:spacing w:before="40"/>
              <w:ind w:left="312" w:hanging="284"/>
              <w:rPr>
                <w:sz w:val="20"/>
                <w:szCs w:val="20"/>
                <w:lang w:val="en-GB"/>
              </w:rPr>
            </w:pPr>
            <w:r w:rsidRPr="00053970">
              <w:rPr>
                <w:sz w:val="20"/>
                <w:szCs w:val="20"/>
                <w:lang w:val="en-GB"/>
              </w:rPr>
              <w:t>PiN: In specific areas, CP and education agreed on the % used to determine the children in need in that area to ensure alignment (</w:t>
            </w:r>
            <w:r w:rsidRPr="00053970">
              <w:rPr>
                <w:b/>
                <w:bCs/>
                <w:sz w:val="20"/>
                <w:szCs w:val="20"/>
                <w:lang w:val="en-GB"/>
              </w:rPr>
              <w:t>oPt</w:t>
            </w:r>
            <w:r w:rsidRPr="00053970">
              <w:rPr>
                <w:sz w:val="20"/>
                <w:szCs w:val="20"/>
                <w:lang w:val="en-GB"/>
              </w:rPr>
              <w:t xml:space="preserve">) </w:t>
            </w:r>
          </w:p>
          <w:p w14:paraId="5BA5436B" w14:textId="278BBBE0" w:rsidR="001C17D1" w:rsidRPr="00053970" w:rsidRDefault="001C17D1" w:rsidP="000F7693">
            <w:pPr>
              <w:pStyle w:val="ListParagraph"/>
              <w:numPr>
                <w:ilvl w:val="0"/>
                <w:numId w:val="8"/>
              </w:numPr>
              <w:spacing w:before="40"/>
              <w:ind w:left="312" w:hanging="284"/>
              <w:rPr>
                <w:sz w:val="20"/>
                <w:szCs w:val="20"/>
                <w:lang w:val="en-GB"/>
              </w:rPr>
            </w:pPr>
            <w:r w:rsidRPr="00053970">
              <w:rPr>
                <w:sz w:val="20"/>
                <w:szCs w:val="20"/>
                <w:lang w:val="en-GB"/>
              </w:rPr>
              <w:t>Mandatorily review the other sector’s HNO chapter/Strategy to ensure complementarity, including alignment in priority areas in need and priority people in need (</w:t>
            </w:r>
            <w:r w:rsidRPr="00053970">
              <w:rPr>
                <w:b/>
                <w:bCs/>
                <w:sz w:val="20"/>
                <w:szCs w:val="20"/>
                <w:lang w:val="en-GB"/>
              </w:rPr>
              <w:t>oPt</w:t>
            </w:r>
            <w:r w:rsidRPr="00053970">
              <w:rPr>
                <w:sz w:val="20"/>
                <w:szCs w:val="20"/>
                <w:lang w:val="en-GB"/>
              </w:rPr>
              <w:t>)</w:t>
            </w:r>
          </w:p>
          <w:p w14:paraId="4583F364" w14:textId="1462A1DF" w:rsidR="001C17D1" w:rsidRPr="00053970" w:rsidRDefault="001C17D1" w:rsidP="000F7693">
            <w:pPr>
              <w:pStyle w:val="ListParagraph"/>
              <w:numPr>
                <w:ilvl w:val="0"/>
                <w:numId w:val="8"/>
              </w:numPr>
              <w:spacing w:before="40"/>
              <w:ind w:left="312" w:hanging="284"/>
              <w:rPr>
                <w:sz w:val="20"/>
                <w:szCs w:val="20"/>
                <w:lang w:val="en-GB"/>
              </w:rPr>
            </w:pPr>
            <w:r w:rsidRPr="00053970">
              <w:rPr>
                <w:sz w:val="20"/>
                <w:szCs w:val="20"/>
                <w:lang w:val="en-GB"/>
              </w:rPr>
              <w:t>Severity thresholds harmoni</w:t>
            </w:r>
            <w:r w:rsidR="0069513F">
              <w:rPr>
                <w:sz w:val="20"/>
                <w:szCs w:val="20"/>
                <w:lang w:val="en-GB"/>
              </w:rPr>
              <w:t>s</w:t>
            </w:r>
            <w:r w:rsidRPr="00053970">
              <w:rPr>
                <w:sz w:val="20"/>
                <w:szCs w:val="20"/>
                <w:lang w:val="en-GB"/>
              </w:rPr>
              <w:t>ed between sectors (</w:t>
            </w:r>
            <w:r w:rsidRPr="00053970">
              <w:rPr>
                <w:b/>
                <w:bCs/>
                <w:sz w:val="20"/>
                <w:szCs w:val="20"/>
                <w:lang w:val="en-GB"/>
              </w:rPr>
              <w:t>Iraq</w:t>
            </w:r>
            <w:r w:rsidRPr="00053970">
              <w:rPr>
                <w:sz w:val="20"/>
                <w:szCs w:val="20"/>
                <w:lang w:val="en-GB"/>
              </w:rPr>
              <w:t xml:space="preserve"> – REACH MCNA)</w:t>
            </w:r>
          </w:p>
          <w:p w14:paraId="2E8866E5" w14:textId="3B2784FB" w:rsidR="001C17D1" w:rsidRPr="00053970" w:rsidRDefault="001C17D1" w:rsidP="000F7693">
            <w:pPr>
              <w:pStyle w:val="ListParagraph"/>
              <w:numPr>
                <w:ilvl w:val="0"/>
                <w:numId w:val="8"/>
              </w:numPr>
              <w:spacing w:before="40"/>
              <w:ind w:left="312" w:hanging="284"/>
              <w:rPr>
                <w:sz w:val="20"/>
                <w:szCs w:val="20"/>
                <w:lang w:val="en-GB"/>
              </w:rPr>
            </w:pPr>
            <w:r w:rsidRPr="00053970">
              <w:rPr>
                <w:sz w:val="20"/>
                <w:szCs w:val="20"/>
                <w:lang w:val="en-GB"/>
              </w:rPr>
              <w:t>Use common dataset/source for understanding needs (</w:t>
            </w:r>
            <w:r w:rsidRPr="00053970">
              <w:rPr>
                <w:b/>
                <w:bCs/>
                <w:sz w:val="20"/>
                <w:szCs w:val="20"/>
                <w:lang w:val="en-GB"/>
              </w:rPr>
              <w:t>oPt</w:t>
            </w:r>
            <w:r w:rsidRPr="00053970">
              <w:rPr>
                <w:sz w:val="20"/>
                <w:szCs w:val="20"/>
                <w:lang w:val="en-GB"/>
              </w:rPr>
              <w:t xml:space="preserve"> – Education sector uses the CP children in need of PSS analysis; </w:t>
            </w:r>
            <w:r w:rsidRPr="00053970">
              <w:rPr>
                <w:b/>
                <w:bCs/>
                <w:sz w:val="20"/>
                <w:szCs w:val="20"/>
                <w:lang w:val="en-GB"/>
              </w:rPr>
              <w:t>Iraq</w:t>
            </w:r>
            <w:r w:rsidRPr="00053970">
              <w:rPr>
                <w:sz w:val="20"/>
                <w:szCs w:val="20"/>
                <w:lang w:val="en-GB"/>
              </w:rPr>
              <w:t xml:space="preserve"> – both sectors use </w:t>
            </w:r>
            <w:r w:rsidRPr="00053970">
              <w:rPr>
                <w:sz w:val="20"/>
                <w:szCs w:val="20"/>
                <w:lang w:val="en-GB"/>
              </w:rPr>
              <w:lastRenderedPageBreak/>
              <w:t>IOM data to assess MHPSS needs)</w:t>
            </w:r>
          </w:p>
        </w:tc>
        <w:tc>
          <w:tcPr>
            <w:tcW w:w="2524" w:type="pct"/>
          </w:tcPr>
          <w:p w14:paraId="00476ECC" w14:textId="16790D84" w:rsidR="001C17D1" w:rsidRPr="00053970" w:rsidRDefault="001C17D1" w:rsidP="001C17D1">
            <w:pPr>
              <w:spacing w:before="40"/>
              <w:rPr>
                <w:sz w:val="20"/>
                <w:szCs w:val="20"/>
                <w:u w:val="single"/>
                <w:lang w:val="en-GB"/>
              </w:rPr>
            </w:pPr>
            <w:r w:rsidRPr="00053970">
              <w:rPr>
                <w:sz w:val="20"/>
                <w:szCs w:val="20"/>
                <w:u w:val="single"/>
                <w:lang w:val="en-GB"/>
              </w:rPr>
              <w:lastRenderedPageBreak/>
              <w:t xml:space="preserve">Joint needs assessment </w:t>
            </w:r>
          </w:p>
          <w:p w14:paraId="40FC6C75" w14:textId="62E39971" w:rsidR="000F7693" w:rsidRPr="00053970" w:rsidRDefault="00A32227" w:rsidP="000F7693">
            <w:pPr>
              <w:pStyle w:val="ListParagraph"/>
              <w:numPr>
                <w:ilvl w:val="0"/>
                <w:numId w:val="8"/>
              </w:numPr>
              <w:spacing w:before="40"/>
              <w:ind w:left="312" w:hanging="284"/>
              <w:rPr>
                <w:sz w:val="20"/>
                <w:szCs w:val="20"/>
                <w:lang w:val="en-GB"/>
              </w:rPr>
            </w:pPr>
            <w:r w:rsidRPr="00053970">
              <w:rPr>
                <w:sz w:val="20"/>
                <w:szCs w:val="20"/>
                <w:lang w:val="en-GB"/>
              </w:rPr>
              <w:t>J</w:t>
            </w:r>
            <w:r w:rsidR="001C17D1" w:rsidRPr="00053970">
              <w:rPr>
                <w:sz w:val="20"/>
                <w:szCs w:val="20"/>
                <w:lang w:val="en-GB"/>
              </w:rPr>
              <w:t xml:space="preserve">oint tool development </w:t>
            </w:r>
            <w:r w:rsidR="00350F5F" w:rsidRPr="00053970">
              <w:rPr>
                <w:sz w:val="20"/>
                <w:szCs w:val="20"/>
                <w:lang w:val="en-GB"/>
              </w:rPr>
              <w:t xml:space="preserve">&amp; </w:t>
            </w:r>
            <w:r w:rsidR="001C17D1" w:rsidRPr="00053970">
              <w:rPr>
                <w:sz w:val="20"/>
                <w:szCs w:val="20"/>
                <w:lang w:val="en-GB"/>
              </w:rPr>
              <w:t>joint data collection</w:t>
            </w:r>
            <w:r w:rsidR="000F7693" w:rsidRPr="00053970">
              <w:rPr>
                <w:sz w:val="20"/>
                <w:szCs w:val="20"/>
                <w:lang w:val="en-GB"/>
              </w:rPr>
              <w:t xml:space="preserve">. </w:t>
            </w:r>
            <w:r w:rsidR="000F7693" w:rsidRPr="00053970">
              <w:rPr>
                <w:b/>
                <w:sz w:val="20"/>
                <w:szCs w:val="20"/>
                <w:lang w:val="en-GB"/>
              </w:rPr>
              <w:t xml:space="preserve">Cox’s </w:t>
            </w:r>
            <w:r w:rsidR="009525A7" w:rsidRPr="00053970">
              <w:rPr>
                <w:b/>
                <w:sz w:val="20"/>
                <w:szCs w:val="20"/>
                <w:lang w:val="en-GB"/>
              </w:rPr>
              <w:t>Bazaar</w:t>
            </w:r>
            <w:r w:rsidR="000F7693" w:rsidRPr="00053970">
              <w:rPr>
                <w:sz w:val="20"/>
                <w:szCs w:val="20"/>
                <w:lang w:val="en-GB"/>
              </w:rPr>
              <w:t xml:space="preserve"> – </w:t>
            </w:r>
            <w:hyperlink r:id="rId12" w:history="1">
              <w:r w:rsidR="000F7693" w:rsidRPr="00053970">
                <w:rPr>
                  <w:rStyle w:val="Hyperlink"/>
                  <w:sz w:val="20"/>
                  <w:szCs w:val="20"/>
                  <w:lang w:val="en-GB"/>
                </w:rPr>
                <w:t>full toolkit</w:t>
              </w:r>
            </w:hyperlink>
            <w:r w:rsidR="000F7693" w:rsidRPr="00053970">
              <w:rPr>
                <w:sz w:val="20"/>
                <w:szCs w:val="20"/>
                <w:lang w:val="en-GB"/>
              </w:rPr>
              <w:t xml:space="preserve">: Assessment ToR, KI questionnaires, observation checklist, </w:t>
            </w:r>
            <w:hyperlink r:id="rId13" w:history="1">
              <w:r w:rsidR="000F7693" w:rsidRPr="00053970">
                <w:rPr>
                  <w:rStyle w:val="Hyperlink"/>
                  <w:sz w:val="20"/>
                  <w:szCs w:val="20"/>
                  <w:lang w:val="en-GB"/>
                </w:rPr>
                <w:t>resource mapping</w:t>
              </w:r>
            </w:hyperlink>
            <w:r w:rsidR="000F7693" w:rsidRPr="00053970">
              <w:rPr>
                <w:sz w:val="20"/>
                <w:szCs w:val="20"/>
                <w:lang w:val="en-GB"/>
              </w:rPr>
              <w:t xml:space="preserve">, </w:t>
            </w:r>
            <w:hyperlink r:id="rId14" w:history="1">
              <w:r w:rsidR="000F7693" w:rsidRPr="00053970">
                <w:rPr>
                  <w:rStyle w:val="Hyperlink"/>
                  <w:sz w:val="20"/>
                  <w:szCs w:val="20"/>
                  <w:lang w:val="en-GB"/>
                </w:rPr>
                <w:t>joint interpretation workshop</w:t>
              </w:r>
            </w:hyperlink>
            <w:r w:rsidR="000F7693" w:rsidRPr="00053970">
              <w:rPr>
                <w:sz w:val="20"/>
                <w:szCs w:val="20"/>
                <w:lang w:val="en-GB"/>
              </w:rPr>
              <w:t xml:space="preserve">, example export </w:t>
            </w:r>
          </w:p>
          <w:p w14:paraId="2C994926" w14:textId="5A32A2E7" w:rsidR="000F7693" w:rsidRPr="00053970" w:rsidRDefault="000F7693" w:rsidP="000F7693">
            <w:pPr>
              <w:pStyle w:val="ListParagraph"/>
              <w:numPr>
                <w:ilvl w:val="0"/>
                <w:numId w:val="8"/>
              </w:numPr>
              <w:spacing w:before="40"/>
              <w:ind w:left="312" w:hanging="284"/>
              <w:rPr>
                <w:sz w:val="20"/>
                <w:szCs w:val="20"/>
                <w:lang w:val="en-GB"/>
              </w:rPr>
            </w:pPr>
            <w:r w:rsidRPr="00053970">
              <w:rPr>
                <w:sz w:val="20"/>
                <w:szCs w:val="20"/>
                <w:lang w:val="en-GB"/>
              </w:rPr>
              <w:t>Joint needs assessment</w:t>
            </w:r>
            <w:r w:rsidR="0037509F" w:rsidRPr="00053970">
              <w:rPr>
                <w:sz w:val="20"/>
                <w:szCs w:val="20"/>
                <w:lang w:val="en-GB"/>
              </w:rPr>
              <w:t> </w:t>
            </w:r>
            <w:r w:rsidR="00A32227" w:rsidRPr="00053970">
              <w:rPr>
                <w:sz w:val="20"/>
                <w:szCs w:val="20"/>
                <w:lang w:val="en-GB"/>
              </w:rPr>
              <w:t>(</w:t>
            </w:r>
            <w:r w:rsidRPr="00053970">
              <w:rPr>
                <w:b/>
                <w:sz w:val="20"/>
                <w:szCs w:val="20"/>
                <w:lang w:val="en-GB"/>
              </w:rPr>
              <w:t>Afghanistan</w:t>
            </w:r>
            <w:r w:rsidR="00A32227" w:rsidRPr="00053970">
              <w:rPr>
                <w:b/>
                <w:sz w:val="20"/>
                <w:szCs w:val="20"/>
                <w:lang w:val="en-GB"/>
              </w:rPr>
              <w:t>)</w:t>
            </w:r>
            <w:r w:rsidRPr="00053970">
              <w:rPr>
                <w:sz w:val="20"/>
                <w:szCs w:val="20"/>
                <w:lang w:val="en-GB"/>
              </w:rPr>
              <w:t xml:space="preserve"> - </w:t>
            </w:r>
            <w:hyperlink r:id="rId15" w:history="1">
              <w:r w:rsidRPr="00053970">
                <w:rPr>
                  <w:rStyle w:val="Hyperlink"/>
                  <w:sz w:val="20"/>
                  <w:szCs w:val="20"/>
                  <w:lang w:val="en-GB"/>
                </w:rPr>
                <w:t>report with annexed tool</w:t>
              </w:r>
            </w:hyperlink>
          </w:p>
          <w:p w14:paraId="081CDA6F" w14:textId="260CAB3B" w:rsidR="0037509F" w:rsidRPr="00053970" w:rsidRDefault="00A32227" w:rsidP="0037509F">
            <w:pPr>
              <w:pStyle w:val="ListParagraph"/>
              <w:numPr>
                <w:ilvl w:val="0"/>
                <w:numId w:val="8"/>
              </w:numPr>
              <w:spacing w:before="40"/>
              <w:ind w:left="312" w:hanging="284"/>
              <w:rPr>
                <w:sz w:val="20"/>
                <w:szCs w:val="20"/>
                <w:lang w:val="en-GB"/>
              </w:rPr>
            </w:pPr>
            <w:r w:rsidRPr="00053970">
              <w:rPr>
                <w:sz w:val="20"/>
                <w:szCs w:val="20"/>
                <w:lang w:val="en-GB"/>
              </w:rPr>
              <w:t>J</w:t>
            </w:r>
            <w:r w:rsidR="0037509F" w:rsidRPr="00053970">
              <w:rPr>
                <w:sz w:val="20"/>
                <w:szCs w:val="20"/>
                <w:lang w:val="en-GB"/>
              </w:rPr>
              <w:t>oint needs assessment (</w:t>
            </w:r>
            <w:r w:rsidR="0037509F" w:rsidRPr="00053970">
              <w:rPr>
                <w:b/>
                <w:bCs/>
                <w:sz w:val="20"/>
                <w:szCs w:val="20"/>
                <w:lang w:val="en-GB"/>
              </w:rPr>
              <w:t>Somalia</w:t>
            </w:r>
            <w:r w:rsidR="0037509F" w:rsidRPr="00053970">
              <w:rPr>
                <w:sz w:val="20"/>
                <w:szCs w:val="20"/>
                <w:lang w:val="en-GB"/>
              </w:rPr>
              <w:t>)</w:t>
            </w:r>
          </w:p>
          <w:p w14:paraId="350FB554" w14:textId="73E0FF1D" w:rsidR="0037509F" w:rsidRPr="00053970" w:rsidRDefault="00A32227" w:rsidP="0037509F">
            <w:pPr>
              <w:pStyle w:val="ListParagraph"/>
              <w:numPr>
                <w:ilvl w:val="0"/>
                <w:numId w:val="8"/>
              </w:numPr>
              <w:spacing w:before="40"/>
              <w:ind w:left="312" w:hanging="284"/>
              <w:rPr>
                <w:sz w:val="20"/>
                <w:szCs w:val="20"/>
                <w:lang w:val="en-GB"/>
              </w:rPr>
            </w:pPr>
            <w:r w:rsidRPr="00053970">
              <w:rPr>
                <w:sz w:val="20"/>
                <w:szCs w:val="20"/>
                <w:lang w:val="en-GB"/>
              </w:rPr>
              <w:t>J</w:t>
            </w:r>
            <w:r w:rsidR="0037509F" w:rsidRPr="00053970">
              <w:rPr>
                <w:sz w:val="20"/>
                <w:szCs w:val="20"/>
                <w:lang w:val="en-GB"/>
              </w:rPr>
              <w:t>oint consultations with partners to better understand the needs of children on specific issues (</w:t>
            </w:r>
            <w:r w:rsidR="0037509F" w:rsidRPr="00053970">
              <w:rPr>
                <w:b/>
                <w:bCs/>
                <w:sz w:val="20"/>
                <w:szCs w:val="20"/>
                <w:lang w:val="en-GB"/>
              </w:rPr>
              <w:t>oPt</w:t>
            </w:r>
            <w:r w:rsidR="0037509F" w:rsidRPr="00053970">
              <w:rPr>
                <w:sz w:val="20"/>
                <w:szCs w:val="20"/>
                <w:lang w:val="en-GB"/>
              </w:rPr>
              <w:t>)</w:t>
            </w:r>
          </w:p>
          <w:p w14:paraId="7051F88E" w14:textId="573E8981" w:rsidR="001C17D1" w:rsidRPr="00053970" w:rsidRDefault="001C17D1" w:rsidP="000F7693">
            <w:pPr>
              <w:spacing w:before="40"/>
              <w:rPr>
                <w:sz w:val="20"/>
                <w:szCs w:val="20"/>
                <w:lang w:val="en-GB"/>
              </w:rPr>
            </w:pPr>
          </w:p>
          <w:p w14:paraId="4D225064" w14:textId="77777777" w:rsidR="001C17D1" w:rsidRPr="00053970" w:rsidRDefault="001C17D1" w:rsidP="001C17D1">
            <w:pPr>
              <w:spacing w:before="40"/>
              <w:ind w:left="28"/>
              <w:rPr>
                <w:sz w:val="20"/>
                <w:szCs w:val="20"/>
                <w:u w:val="single"/>
                <w:lang w:val="en-GB"/>
              </w:rPr>
            </w:pPr>
            <w:r w:rsidRPr="00053970">
              <w:rPr>
                <w:sz w:val="20"/>
                <w:szCs w:val="20"/>
                <w:u w:val="single"/>
                <w:lang w:val="en-GB"/>
              </w:rPr>
              <w:t>Single sector needs assessments</w:t>
            </w:r>
          </w:p>
          <w:p w14:paraId="3872E7D1" w14:textId="77777777" w:rsidR="001C17D1" w:rsidRPr="00053970" w:rsidRDefault="001C17D1" w:rsidP="00350F5F">
            <w:pPr>
              <w:spacing w:before="40"/>
              <w:rPr>
                <w:sz w:val="20"/>
                <w:szCs w:val="20"/>
                <w:lang w:val="en-GB"/>
              </w:rPr>
            </w:pPr>
            <w:r w:rsidRPr="00053970">
              <w:rPr>
                <w:sz w:val="20"/>
                <w:szCs w:val="20"/>
                <w:lang w:val="en-GB"/>
              </w:rPr>
              <w:t>Consult the other sector and incorporate some questions, e.g. include child protection issues in education assessments e.g.:</w:t>
            </w:r>
          </w:p>
          <w:p w14:paraId="2B340E73" w14:textId="637CE1BC" w:rsidR="001C17D1" w:rsidRPr="00053970" w:rsidRDefault="001C17D1" w:rsidP="000F7693">
            <w:pPr>
              <w:pStyle w:val="ListParagraph"/>
              <w:numPr>
                <w:ilvl w:val="0"/>
                <w:numId w:val="8"/>
              </w:numPr>
              <w:spacing w:before="40"/>
              <w:rPr>
                <w:sz w:val="20"/>
                <w:szCs w:val="20"/>
                <w:lang w:val="en-GB"/>
              </w:rPr>
            </w:pPr>
            <w:r w:rsidRPr="00053970">
              <w:rPr>
                <w:sz w:val="20"/>
                <w:szCs w:val="20"/>
                <w:lang w:val="en-GB"/>
              </w:rPr>
              <w:t>Education Cluster has good data-collection coverage through national education department survey, while CP does not have access to such systems. Education includes a CP section in their survey to leverage the coverage of national education systems to the benefit of CP</w:t>
            </w:r>
            <w:r w:rsidR="00A32227" w:rsidRPr="00053970">
              <w:rPr>
                <w:sz w:val="20"/>
                <w:szCs w:val="20"/>
                <w:lang w:val="en-GB"/>
              </w:rPr>
              <w:t xml:space="preserve"> (</w:t>
            </w:r>
            <w:r w:rsidR="00A32227" w:rsidRPr="00053970">
              <w:rPr>
                <w:b/>
                <w:sz w:val="20"/>
                <w:szCs w:val="20"/>
                <w:lang w:val="en-GB"/>
              </w:rPr>
              <w:t>Ukraine)</w:t>
            </w:r>
          </w:p>
          <w:p w14:paraId="071B1D3C" w14:textId="7EDED6F0" w:rsidR="001C17D1" w:rsidRPr="00053970" w:rsidRDefault="001C17D1" w:rsidP="000F7693">
            <w:pPr>
              <w:pStyle w:val="ListParagraph"/>
              <w:numPr>
                <w:ilvl w:val="0"/>
                <w:numId w:val="8"/>
              </w:numPr>
              <w:spacing w:before="40"/>
              <w:rPr>
                <w:sz w:val="20"/>
                <w:szCs w:val="20"/>
                <w:lang w:val="en-GB"/>
              </w:rPr>
            </w:pPr>
            <w:r w:rsidRPr="00053970">
              <w:rPr>
                <w:sz w:val="20"/>
                <w:szCs w:val="20"/>
                <w:lang w:val="en-GB"/>
              </w:rPr>
              <w:t xml:space="preserve">Joint Education N.A. 2019 included consultation with the CPWG in the development of CP related questions prior to the needs assessment being deployed </w:t>
            </w:r>
            <w:r w:rsidR="00A32227" w:rsidRPr="00053970">
              <w:rPr>
                <w:sz w:val="20"/>
                <w:szCs w:val="20"/>
                <w:lang w:val="en-GB"/>
              </w:rPr>
              <w:t>(</w:t>
            </w:r>
            <w:r w:rsidR="00A32227" w:rsidRPr="00053970">
              <w:rPr>
                <w:b/>
                <w:sz w:val="20"/>
                <w:szCs w:val="20"/>
                <w:lang w:val="en-GB"/>
              </w:rPr>
              <w:t>Libya)</w:t>
            </w:r>
          </w:p>
          <w:p w14:paraId="02CCD3A9" w14:textId="47E6AA92" w:rsidR="00350F5F" w:rsidRPr="00053970" w:rsidRDefault="001C17D1" w:rsidP="000F7693">
            <w:pPr>
              <w:pStyle w:val="ListParagraph"/>
              <w:numPr>
                <w:ilvl w:val="0"/>
                <w:numId w:val="8"/>
              </w:numPr>
              <w:spacing w:before="40"/>
              <w:rPr>
                <w:sz w:val="20"/>
                <w:szCs w:val="20"/>
                <w:lang w:val="en-GB"/>
              </w:rPr>
            </w:pPr>
            <w:r w:rsidRPr="00053970">
              <w:rPr>
                <w:sz w:val="20"/>
                <w:szCs w:val="20"/>
                <w:lang w:val="en-GB"/>
              </w:rPr>
              <w:t>REACH and EiE WG Afghanistan 2017 included CP questions</w:t>
            </w:r>
            <w:r w:rsidR="00A32227" w:rsidRPr="00053970">
              <w:rPr>
                <w:sz w:val="20"/>
                <w:szCs w:val="20"/>
                <w:lang w:val="en-GB"/>
              </w:rPr>
              <w:t xml:space="preserve"> (</w:t>
            </w:r>
            <w:r w:rsidR="00A32227" w:rsidRPr="00053970">
              <w:rPr>
                <w:b/>
                <w:sz w:val="20"/>
                <w:szCs w:val="20"/>
                <w:lang w:val="en-GB"/>
              </w:rPr>
              <w:t>Afghanistan)</w:t>
            </w:r>
          </w:p>
          <w:p w14:paraId="75278DEC" w14:textId="77777777" w:rsidR="00350F5F" w:rsidRPr="00053970" w:rsidRDefault="00350F5F" w:rsidP="00350F5F">
            <w:pPr>
              <w:pStyle w:val="ListParagraph"/>
              <w:spacing w:before="40"/>
              <w:ind w:left="312"/>
              <w:rPr>
                <w:sz w:val="20"/>
                <w:szCs w:val="20"/>
                <w:lang w:val="en-GB"/>
              </w:rPr>
            </w:pPr>
          </w:p>
          <w:p w14:paraId="657006EB" w14:textId="06F7E607" w:rsidR="001C17D1" w:rsidRPr="00053970" w:rsidRDefault="001C17D1" w:rsidP="00350F5F">
            <w:pPr>
              <w:spacing w:before="40"/>
              <w:ind w:left="28"/>
              <w:rPr>
                <w:sz w:val="20"/>
                <w:szCs w:val="20"/>
                <w:lang w:val="en-GB"/>
              </w:rPr>
            </w:pPr>
            <w:r w:rsidRPr="00053970">
              <w:rPr>
                <w:sz w:val="20"/>
                <w:szCs w:val="20"/>
                <w:lang w:val="en-GB"/>
              </w:rPr>
              <w:t>Flag the need for other sector assessments, e.g. an education assessment uncovered prevalence of physical, emotional and sexual violence in boarding schools, leading the EiE sector to flag the need for a CP assessment in these locations (</w:t>
            </w:r>
            <w:r w:rsidRPr="00053970">
              <w:rPr>
                <w:b/>
                <w:sz w:val="20"/>
                <w:szCs w:val="20"/>
                <w:lang w:val="en-GB"/>
              </w:rPr>
              <w:t>Myanmar)</w:t>
            </w:r>
          </w:p>
          <w:p w14:paraId="404233BE" w14:textId="77777777" w:rsidR="00350F5F" w:rsidRPr="00053970" w:rsidRDefault="00350F5F" w:rsidP="00350F5F">
            <w:pPr>
              <w:spacing w:before="40"/>
              <w:rPr>
                <w:sz w:val="20"/>
                <w:szCs w:val="20"/>
                <w:lang w:val="en-GB"/>
              </w:rPr>
            </w:pPr>
          </w:p>
          <w:p w14:paraId="597B40C0" w14:textId="77777777" w:rsidR="00350F5F" w:rsidRPr="00053970" w:rsidRDefault="001C17D1" w:rsidP="00350F5F">
            <w:pPr>
              <w:spacing w:before="40"/>
              <w:rPr>
                <w:b/>
                <w:sz w:val="20"/>
                <w:szCs w:val="20"/>
                <w:lang w:val="en-GB"/>
              </w:rPr>
            </w:pPr>
            <w:r w:rsidRPr="00053970">
              <w:rPr>
                <w:sz w:val="20"/>
                <w:szCs w:val="20"/>
                <w:lang w:val="en-GB"/>
              </w:rPr>
              <w:t xml:space="preserve">Share sector assessments and highlight relevant findings to the other sector (as above, </w:t>
            </w:r>
            <w:r w:rsidRPr="00053970">
              <w:rPr>
                <w:b/>
                <w:sz w:val="20"/>
                <w:szCs w:val="20"/>
                <w:lang w:val="en-GB"/>
              </w:rPr>
              <w:t>Myanmar)</w:t>
            </w:r>
          </w:p>
          <w:p w14:paraId="283D45E1" w14:textId="77777777" w:rsidR="00350F5F" w:rsidRPr="00053970" w:rsidRDefault="00350F5F" w:rsidP="00350F5F">
            <w:pPr>
              <w:spacing w:before="40"/>
              <w:rPr>
                <w:b/>
                <w:sz w:val="20"/>
                <w:szCs w:val="20"/>
                <w:lang w:val="en-GB"/>
              </w:rPr>
            </w:pPr>
          </w:p>
          <w:p w14:paraId="762DF5D7" w14:textId="43266D27" w:rsidR="001C17D1" w:rsidRPr="00053970" w:rsidRDefault="001C17D1" w:rsidP="00350F5F">
            <w:pPr>
              <w:spacing w:before="40"/>
              <w:rPr>
                <w:sz w:val="20"/>
                <w:szCs w:val="20"/>
                <w:lang w:val="en-GB"/>
              </w:rPr>
            </w:pPr>
            <w:r w:rsidRPr="00053970">
              <w:rPr>
                <w:sz w:val="20"/>
                <w:szCs w:val="20"/>
                <w:lang w:val="en-GB"/>
              </w:rPr>
              <w:lastRenderedPageBreak/>
              <w:t>Open-source (e.g. on Kobo), standardi</w:t>
            </w:r>
            <w:r w:rsidR="0069513F">
              <w:rPr>
                <w:sz w:val="20"/>
                <w:szCs w:val="20"/>
                <w:lang w:val="en-GB"/>
              </w:rPr>
              <w:t>s</w:t>
            </w:r>
            <w:r w:rsidRPr="00053970">
              <w:rPr>
                <w:sz w:val="20"/>
                <w:szCs w:val="20"/>
                <w:lang w:val="en-GB"/>
              </w:rPr>
              <w:t>ed N.A. tools which include cross-sector questions and can be used by partners in both sectors (</w:t>
            </w:r>
            <w:r w:rsidRPr="00053970">
              <w:rPr>
                <w:b/>
                <w:sz w:val="20"/>
                <w:szCs w:val="20"/>
                <w:lang w:val="en-GB"/>
              </w:rPr>
              <w:t>Iraq)</w:t>
            </w:r>
          </w:p>
          <w:p w14:paraId="152E0324" w14:textId="09819139" w:rsidR="001C17D1" w:rsidRPr="00053970" w:rsidRDefault="001C17D1" w:rsidP="001C17D1">
            <w:pPr>
              <w:spacing w:before="40"/>
              <w:ind w:left="28"/>
              <w:rPr>
                <w:sz w:val="20"/>
                <w:szCs w:val="20"/>
                <w:lang w:val="en-GB"/>
              </w:rPr>
            </w:pPr>
          </w:p>
          <w:p w14:paraId="54693D0C" w14:textId="22DF9247" w:rsidR="00D405B4" w:rsidRPr="00053970" w:rsidRDefault="00D405B4" w:rsidP="00D405B4">
            <w:pPr>
              <w:spacing w:before="40"/>
              <w:ind w:left="28"/>
              <w:rPr>
                <w:sz w:val="20"/>
                <w:szCs w:val="20"/>
                <w:lang w:val="en-GB"/>
              </w:rPr>
            </w:pPr>
            <w:r w:rsidRPr="00053970">
              <w:rPr>
                <w:sz w:val="20"/>
                <w:szCs w:val="20"/>
                <w:lang w:val="en-GB"/>
              </w:rPr>
              <w:t xml:space="preserve">In </w:t>
            </w:r>
            <w:r w:rsidRPr="00053970">
              <w:rPr>
                <w:sz w:val="20"/>
                <w:szCs w:val="20"/>
                <w:u w:val="single"/>
                <w:lang w:val="en-GB"/>
              </w:rPr>
              <w:t>multi-cluster needs assessments</w:t>
            </w:r>
            <w:r w:rsidRPr="00053970">
              <w:rPr>
                <w:sz w:val="20"/>
                <w:szCs w:val="20"/>
                <w:lang w:val="en-GB"/>
              </w:rPr>
              <w:t>, consult the other sector to develop joint indicators/ and items to maximi</w:t>
            </w:r>
            <w:r w:rsidR="0069513F">
              <w:rPr>
                <w:sz w:val="20"/>
                <w:szCs w:val="20"/>
                <w:lang w:val="en-GB"/>
              </w:rPr>
              <w:t>s</w:t>
            </w:r>
            <w:r w:rsidRPr="00053970">
              <w:rPr>
                <w:sz w:val="20"/>
                <w:szCs w:val="20"/>
                <w:lang w:val="en-GB"/>
              </w:rPr>
              <w:t xml:space="preserve">e on limited space and facilitate complementary data gathering  </w:t>
            </w:r>
            <w:r w:rsidRPr="00053970">
              <w:rPr>
                <w:b/>
                <w:bCs/>
                <w:sz w:val="20"/>
                <w:szCs w:val="20"/>
                <w:lang w:val="en-GB"/>
              </w:rPr>
              <w:t>(Iraq)</w:t>
            </w:r>
          </w:p>
          <w:p w14:paraId="6457C89A" w14:textId="77777777" w:rsidR="00D405B4" w:rsidRPr="00053970" w:rsidRDefault="00D405B4" w:rsidP="00D405B4">
            <w:pPr>
              <w:spacing w:before="40"/>
              <w:ind w:left="28"/>
              <w:rPr>
                <w:sz w:val="20"/>
                <w:szCs w:val="20"/>
                <w:lang w:val="en-GB"/>
              </w:rPr>
            </w:pPr>
            <w:r w:rsidRPr="00053970">
              <w:rPr>
                <w:sz w:val="20"/>
                <w:szCs w:val="20"/>
                <w:lang w:val="en-GB"/>
              </w:rPr>
              <w:t>REACH MCNA &amp; assessment in hard to reach areas (2019) - OCHA facilitated alignment of questions (</w:t>
            </w:r>
            <w:r w:rsidRPr="00053970">
              <w:rPr>
                <w:b/>
                <w:bCs/>
                <w:sz w:val="20"/>
                <w:szCs w:val="20"/>
                <w:lang w:val="en-GB"/>
              </w:rPr>
              <w:t>Afghanistan</w:t>
            </w:r>
            <w:r w:rsidRPr="00053970">
              <w:rPr>
                <w:sz w:val="20"/>
                <w:szCs w:val="20"/>
                <w:lang w:val="en-GB"/>
              </w:rPr>
              <w:t>)</w:t>
            </w:r>
          </w:p>
          <w:p w14:paraId="4AACE0B1" w14:textId="77777777" w:rsidR="00D405B4" w:rsidRPr="00053970" w:rsidRDefault="00D405B4" w:rsidP="001C17D1">
            <w:pPr>
              <w:spacing w:before="40"/>
              <w:ind w:left="28"/>
              <w:rPr>
                <w:sz w:val="20"/>
                <w:szCs w:val="20"/>
                <w:lang w:val="en-GB"/>
              </w:rPr>
            </w:pPr>
          </w:p>
          <w:p w14:paraId="00306DAF" w14:textId="63D237F0" w:rsidR="00150202" w:rsidRPr="00053970" w:rsidRDefault="00D405B4" w:rsidP="00BD79A4">
            <w:pPr>
              <w:spacing w:after="120"/>
              <w:rPr>
                <w:sz w:val="20"/>
                <w:szCs w:val="20"/>
                <w:lang w:val="en-GB"/>
              </w:rPr>
            </w:pPr>
            <w:r w:rsidRPr="00053970">
              <w:rPr>
                <w:sz w:val="20"/>
                <w:szCs w:val="20"/>
                <w:u w:val="single"/>
                <w:lang w:val="en-GB"/>
              </w:rPr>
              <w:t xml:space="preserve">Child </w:t>
            </w:r>
            <w:r w:rsidR="001C17D1" w:rsidRPr="00053970">
              <w:rPr>
                <w:sz w:val="20"/>
                <w:szCs w:val="20"/>
                <w:u w:val="single"/>
                <w:lang w:val="en-GB"/>
              </w:rPr>
              <w:t>participation</w:t>
            </w:r>
            <w:r w:rsidR="001C17D1" w:rsidRPr="00053970">
              <w:rPr>
                <w:sz w:val="20"/>
                <w:szCs w:val="20"/>
                <w:lang w:val="en-GB"/>
              </w:rPr>
              <w:t xml:space="preserve"> in assessments (</w:t>
            </w:r>
            <w:r w:rsidR="001C17D1" w:rsidRPr="00053970">
              <w:rPr>
                <w:b/>
                <w:bCs/>
                <w:sz w:val="20"/>
                <w:szCs w:val="20"/>
                <w:lang w:val="en-GB"/>
              </w:rPr>
              <w:t>Somalia</w:t>
            </w:r>
            <w:r w:rsidR="001C17D1" w:rsidRPr="00053970">
              <w:rPr>
                <w:sz w:val="20"/>
                <w:szCs w:val="20"/>
                <w:lang w:val="en-GB"/>
              </w:rPr>
              <w:t>)</w:t>
            </w:r>
          </w:p>
        </w:tc>
      </w:tr>
      <w:tr w:rsidR="00666303" w:rsidRPr="00053970" w14:paraId="5926A044" w14:textId="77777777" w:rsidTr="00027A53">
        <w:tc>
          <w:tcPr>
            <w:tcW w:w="5000" w:type="pct"/>
            <w:gridSpan w:val="4"/>
            <w:shd w:val="clear" w:color="auto" w:fill="86789C"/>
          </w:tcPr>
          <w:p w14:paraId="508D55EF" w14:textId="303EE14F" w:rsidR="00666303" w:rsidRPr="00053970" w:rsidRDefault="00666303" w:rsidP="00666303">
            <w:pPr>
              <w:spacing w:before="40"/>
              <w:jc w:val="center"/>
              <w:rPr>
                <w:b/>
                <w:bCs/>
                <w:color w:val="FFFFFF" w:themeColor="background1"/>
                <w:sz w:val="20"/>
                <w:szCs w:val="20"/>
                <w:lang w:val="en-GB"/>
              </w:rPr>
            </w:pPr>
            <w:r w:rsidRPr="00053970">
              <w:rPr>
                <w:b/>
                <w:bCs/>
                <w:color w:val="FFFFFF" w:themeColor="background1"/>
                <w:sz w:val="20"/>
                <w:szCs w:val="20"/>
                <w:lang w:val="en-GB"/>
              </w:rPr>
              <w:lastRenderedPageBreak/>
              <w:t>GLOBAL LEVEL RESOURCES</w:t>
            </w:r>
          </w:p>
        </w:tc>
      </w:tr>
      <w:tr w:rsidR="000F7693" w:rsidRPr="00053970" w14:paraId="3966569E" w14:textId="77777777" w:rsidTr="00027A53">
        <w:tc>
          <w:tcPr>
            <w:tcW w:w="777" w:type="pct"/>
          </w:tcPr>
          <w:p w14:paraId="4CF425E7" w14:textId="2A0D52C8" w:rsidR="0037509F" w:rsidRPr="00053970" w:rsidRDefault="00323FF9" w:rsidP="0037509F">
            <w:pPr>
              <w:pStyle w:val="ListParagraph"/>
              <w:numPr>
                <w:ilvl w:val="0"/>
                <w:numId w:val="8"/>
              </w:numPr>
              <w:spacing w:before="40"/>
              <w:ind w:left="312" w:hanging="284"/>
              <w:rPr>
                <w:sz w:val="20"/>
                <w:szCs w:val="20"/>
                <w:lang w:val="en-GB"/>
              </w:rPr>
            </w:pPr>
            <w:r w:rsidRPr="00053970">
              <w:rPr>
                <w:sz w:val="20"/>
                <w:szCs w:val="20"/>
                <w:lang w:val="en-GB"/>
              </w:rPr>
              <w:t>Example Key decisions that sector data is needed for (</w:t>
            </w:r>
            <w:hyperlink r:id="rId16" w:history="1">
              <w:r w:rsidRPr="00053970">
                <w:rPr>
                  <w:rStyle w:val="Hyperlink"/>
                  <w:sz w:val="20"/>
                  <w:szCs w:val="20"/>
                  <w:lang w:val="en-GB"/>
                </w:rPr>
                <w:t>Annex 1</w:t>
              </w:r>
            </w:hyperlink>
            <w:r w:rsidRPr="00053970">
              <w:rPr>
                <w:sz w:val="20"/>
                <w:szCs w:val="20"/>
                <w:lang w:val="en-GB"/>
              </w:rPr>
              <w:t>)</w:t>
            </w:r>
          </w:p>
          <w:p w14:paraId="5523219D" w14:textId="77777777" w:rsidR="000F7693" w:rsidRPr="00053970" w:rsidRDefault="000F7693" w:rsidP="00350F5F">
            <w:pPr>
              <w:spacing w:before="40" w:after="40"/>
              <w:rPr>
                <w:b/>
                <w:bCs/>
                <w:sz w:val="20"/>
                <w:szCs w:val="20"/>
                <w:lang w:val="en-GB"/>
              </w:rPr>
            </w:pPr>
          </w:p>
        </w:tc>
        <w:tc>
          <w:tcPr>
            <w:tcW w:w="825" w:type="pct"/>
          </w:tcPr>
          <w:p w14:paraId="2053C0C6" w14:textId="729EAE02" w:rsidR="00323FF9" w:rsidRPr="00053970" w:rsidRDefault="00323FF9" w:rsidP="0037509F">
            <w:pPr>
              <w:pStyle w:val="ListParagraph"/>
              <w:numPr>
                <w:ilvl w:val="0"/>
                <w:numId w:val="8"/>
              </w:numPr>
              <w:spacing w:before="40"/>
              <w:ind w:left="312" w:hanging="284"/>
              <w:rPr>
                <w:sz w:val="20"/>
                <w:szCs w:val="20"/>
                <w:lang w:val="en-GB"/>
              </w:rPr>
            </w:pPr>
            <w:r w:rsidRPr="00053970">
              <w:rPr>
                <w:sz w:val="20"/>
                <w:szCs w:val="20"/>
                <w:lang w:val="en-GB"/>
              </w:rPr>
              <w:t>Example key sector data needs (</w:t>
            </w:r>
            <w:hyperlink r:id="rId17" w:history="1">
              <w:r w:rsidRPr="00053970">
                <w:rPr>
                  <w:rStyle w:val="Hyperlink"/>
                  <w:sz w:val="20"/>
                  <w:szCs w:val="20"/>
                  <w:lang w:val="en-GB"/>
                </w:rPr>
                <w:t>Annex 2</w:t>
              </w:r>
            </w:hyperlink>
            <w:r w:rsidRPr="00053970">
              <w:rPr>
                <w:sz w:val="20"/>
                <w:szCs w:val="20"/>
                <w:lang w:val="en-GB"/>
              </w:rPr>
              <w:t>)</w:t>
            </w:r>
          </w:p>
          <w:p w14:paraId="3860D917" w14:textId="77777777" w:rsidR="000F7693" w:rsidRDefault="000F7693" w:rsidP="00323FF9">
            <w:pPr>
              <w:pStyle w:val="ListParagraph"/>
              <w:numPr>
                <w:ilvl w:val="0"/>
                <w:numId w:val="8"/>
              </w:numPr>
              <w:spacing w:before="40"/>
              <w:ind w:left="312" w:hanging="284"/>
              <w:rPr>
                <w:sz w:val="20"/>
                <w:szCs w:val="20"/>
                <w:lang w:val="en-GB"/>
              </w:rPr>
            </w:pPr>
            <w:r w:rsidRPr="00053970">
              <w:rPr>
                <w:sz w:val="20"/>
                <w:szCs w:val="20"/>
                <w:lang w:val="en-GB"/>
              </w:rPr>
              <w:t>Checklist to enable predictable information sharing (</w:t>
            </w:r>
            <w:hyperlink r:id="rId18" w:history="1">
              <w:r w:rsidRPr="00053970">
                <w:rPr>
                  <w:rStyle w:val="Hyperlink"/>
                  <w:sz w:val="20"/>
                  <w:szCs w:val="20"/>
                  <w:lang w:val="en-GB"/>
                </w:rPr>
                <w:t xml:space="preserve">Annex </w:t>
              </w:r>
              <w:r w:rsidR="002D5171" w:rsidRPr="00053970">
                <w:rPr>
                  <w:rStyle w:val="Hyperlink"/>
                  <w:sz w:val="20"/>
                  <w:szCs w:val="20"/>
                  <w:lang w:val="en-GB"/>
                </w:rPr>
                <w:t>3</w:t>
              </w:r>
            </w:hyperlink>
            <w:r w:rsidRPr="00053970">
              <w:rPr>
                <w:sz w:val="20"/>
                <w:szCs w:val="20"/>
                <w:lang w:val="en-GB"/>
              </w:rPr>
              <w:t>)</w:t>
            </w:r>
          </w:p>
          <w:p w14:paraId="3FCD5422" w14:textId="192FFB43" w:rsidR="00053970" w:rsidRPr="00053970" w:rsidRDefault="00053970" w:rsidP="00BD79A4">
            <w:pPr>
              <w:pStyle w:val="ListParagraph"/>
              <w:numPr>
                <w:ilvl w:val="0"/>
                <w:numId w:val="8"/>
              </w:numPr>
              <w:spacing w:before="40"/>
              <w:ind w:left="312" w:hanging="284"/>
              <w:rPr>
                <w:sz w:val="20"/>
                <w:szCs w:val="20"/>
                <w:lang w:val="en-GB"/>
              </w:rPr>
            </w:pPr>
            <w:r>
              <w:rPr>
                <w:sz w:val="20"/>
                <w:szCs w:val="20"/>
                <w:lang w:val="en-GB"/>
              </w:rPr>
              <w:t xml:space="preserve">Example </w:t>
            </w:r>
            <w:hyperlink r:id="rId19" w:history="1">
              <w:r w:rsidRPr="00F6376F">
                <w:rPr>
                  <w:rStyle w:val="Hyperlink"/>
                  <w:sz w:val="20"/>
                  <w:szCs w:val="20"/>
                  <w:lang w:val="en-GB"/>
                </w:rPr>
                <w:t>Information Sharing Protocol</w:t>
              </w:r>
            </w:hyperlink>
            <w:r>
              <w:rPr>
                <w:sz w:val="20"/>
                <w:szCs w:val="20"/>
                <w:lang w:val="en-GB"/>
              </w:rPr>
              <w:t xml:space="preserve"> (ISP) with section on “sharing data for purposes of coordination and situation monitoring” pg</w:t>
            </w:r>
            <w:r w:rsidR="00DE4162">
              <w:rPr>
                <w:sz w:val="20"/>
                <w:szCs w:val="20"/>
                <w:lang w:val="en-GB"/>
              </w:rPr>
              <w:t>.</w:t>
            </w:r>
            <w:r>
              <w:rPr>
                <w:sz w:val="20"/>
                <w:szCs w:val="20"/>
                <w:lang w:val="en-GB"/>
              </w:rPr>
              <w:t xml:space="preserve"> 10</w:t>
            </w:r>
            <w:r w:rsidR="00F6376F">
              <w:rPr>
                <w:sz w:val="20"/>
                <w:szCs w:val="20"/>
                <w:lang w:val="en-GB"/>
              </w:rPr>
              <w:t xml:space="preserve"> which can be adapted to cross-sector sharing</w:t>
            </w:r>
          </w:p>
        </w:tc>
        <w:tc>
          <w:tcPr>
            <w:tcW w:w="874" w:type="pct"/>
          </w:tcPr>
          <w:p w14:paraId="64CA7A5D" w14:textId="77777777" w:rsidR="00BB2951" w:rsidRPr="00053970" w:rsidRDefault="000A402D" w:rsidP="0037509F">
            <w:pPr>
              <w:pStyle w:val="ListParagraph"/>
              <w:numPr>
                <w:ilvl w:val="0"/>
                <w:numId w:val="8"/>
              </w:numPr>
              <w:spacing w:before="40"/>
              <w:ind w:left="312" w:hanging="284"/>
              <w:rPr>
                <w:sz w:val="20"/>
                <w:szCs w:val="20"/>
                <w:lang w:val="en-GB"/>
              </w:rPr>
            </w:pPr>
            <w:hyperlink r:id="rId20" w:history="1">
              <w:r w:rsidR="000F7693" w:rsidRPr="00053970">
                <w:rPr>
                  <w:rStyle w:val="Hyperlink"/>
                  <w:sz w:val="20"/>
                  <w:szCs w:val="20"/>
                  <w:lang w:val="en-GB"/>
                </w:rPr>
                <w:t>EiE Analysis Framework</w:t>
              </w:r>
            </w:hyperlink>
            <w:r w:rsidR="000F7693" w:rsidRPr="00053970">
              <w:rPr>
                <w:sz w:val="20"/>
                <w:szCs w:val="20"/>
                <w:lang w:val="en-GB"/>
              </w:rPr>
              <w:t xml:space="preserve"> </w:t>
            </w:r>
            <w:r w:rsidR="000F7693" w:rsidRPr="00053970">
              <w:rPr>
                <w:color w:val="ED7D31" w:themeColor="accent2"/>
                <w:sz w:val="20"/>
                <w:szCs w:val="20"/>
                <w:lang w:val="en-GB"/>
              </w:rPr>
              <w:t>draft</w:t>
            </w:r>
            <w:r w:rsidR="000F7693" w:rsidRPr="00053970">
              <w:rPr>
                <w:sz w:val="20"/>
                <w:szCs w:val="20"/>
                <w:lang w:val="en-GB"/>
              </w:rPr>
              <w:t xml:space="preserve"> (</w:t>
            </w:r>
            <w:r w:rsidR="000F7693" w:rsidRPr="00053970">
              <w:rPr>
                <w:b/>
                <w:sz w:val="20"/>
                <w:szCs w:val="20"/>
                <w:lang w:val="en-GB"/>
              </w:rPr>
              <w:t>GEC</w:t>
            </w:r>
            <w:r w:rsidR="000F7693" w:rsidRPr="00053970">
              <w:rPr>
                <w:sz w:val="20"/>
                <w:szCs w:val="20"/>
                <w:lang w:val="en-GB"/>
              </w:rPr>
              <w:t>)</w:t>
            </w:r>
          </w:p>
          <w:p w14:paraId="6EA9E654" w14:textId="723C2F59" w:rsidR="000F7693" w:rsidRPr="00053970" w:rsidRDefault="000A402D" w:rsidP="00323FF9">
            <w:pPr>
              <w:pStyle w:val="ListParagraph"/>
              <w:numPr>
                <w:ilvl w:val="0"/>
                <w:numId w:val="8"/>
              </w:numPr>
              <w:spacing w:before="40"/>
              <w:ind w:left="312" w:hanging="284"/>
              <w:rPr>
                <w:sz w:val="20"/>
                <w:szCs w:val="20"/>
                <w:lang w:val="en-GB"/>
              </w:rPr>
            </w:pPr>
            <w:hyperlink r:id="rId21" w:history="1">
              <w:r w:rsidR="000F7693" w:rsidRPr="00053970">
                <w:rPr>
                  <w:rStyle w:val="Hyperlink"/>
                  <w:sz w:val="20"/>
                  <w:szCs w:val="20"/>
                  <w:lang w:val="en-GB"/>
                </w:rPr>
                <w:t xml:space="preserve">CP </w:t>
              </w:r>
              <w:r w:rsidR="00323FF9" w:rsidRPr="00053970">
                <w:rPr>
                  <w:rStyle w:val="Hyperlink"/>
                  <w:sz w:val="20"/>
                  <w:szCs w:val="20"/>
                  <w:lang w:val="en-GB"/>
                </w:rPr>
                <w:t>Needs Identification &amp; Analysis Framework</w:t>
              </w:r>
            </w:hyperlink>
            <w:r w:rsidR="00323FF9" w:rsidRPr="00053970">
              <w:rPr>
                <w:sz w:val="20"/>
                <w:szCs w:val="20"/>
                <w:lang w:val="en-GB"/>
              </w:rPr>
              <w:t xml:space="preserve"> (NIAF), the approach to identify and analyse needs of children in humanitarian settings</w:t>
            </w:r>
            <w:r w:rsidR="000F7693" w:rsidRPr="00053970">
              <w:rPr>
                <w:sz w:val="20"/>
                <w:szCs w:val="20"/>
                <w:lang w:val="en-GB"/>
              </w:rPr>
              <w:t xml:space="preserve"> (</w:t>
            </w:r>
            <w:r w:rsidR="000F7693" w:rsidRPr="00053970">
              <w:rPr>
                <w:b/>
                <w:sz w:val="20"/>
                <w:szCs w:val="20"/>
                <w:lang w:val="en-GB"/>
              </w:rPr>
              <w:t>CP AoR</w:t>
            </w:r>
            <w:r w:rsidR="000F7693" w:rsidRPr="00053970">
              <w:rPr>
                <w:sz w:val="20"/>
                <w:szCs w:val="20"/>
                <w:lang w:val="en-GB"/>
              </w:rPr>
              <w:t>)</w:t>
            </w:r>
          </w:p>
          <w:p w14:paraId="0E4F9633" w14:textId="7CCFAA13" w:rsidR="000F7693" w:rsidRPr="00053970" w:rsidRDefault="000A402D" w:rsidP="0037509F">
            <w:pPr>
              <w:pStyle w:val="ListParagraph"/>
              <w:numPr>
                <w:ilvl w:val="0"/>
                <w:numId w:val="8"/>
              </w:numPr>
              <w:spacing w:before="40"/>
              <w:ind w:left="312" w:hanging="284"/>
              <w:rPr>
                <w:sz w:val="20"/>
                <w:szCs w:val="20"/>
                <w:lang w:val="en-GB"/>
              </w:rPr>
            </w:pPr>
            <w:hyperlink r:id="rId22" w:history="1">
              <w:r w:rsidR="00817C1E" w:rsidRPr="00053970">
                <w:rPr>
                  <w:rStyle w:val="Hyperlink"/>
                  <w:sz w:val="20"/>
                  <w:szCs w:val="20"/>
                  <w:lang w:val="en-GB"/>
                </w:rPr>
                <w:t>SDR template and guidance</w:t>
              </w:r>
            </w:hyperlink>
            <w:r w:rsidR="000F7693" w:rsidRPr="00053970">
              <w:rPr>
                <w:sz w:val="20"/>
                <w:szCs w:val="20"/>
                <w:lang w:val="en-GB"/>
              </w:rPr>
              <w:t xml:space="preserve"> (</w:t>
            </w:r>
            <w:r w:rsidR="000F7693" w:rsidRPr="00053970">
              <w:rPr>
                <w:b/>
                <w:sz w:val="20"/>
                <w:szCs w:val="20"/>
                <w:lang w:val="en-GB"/>
              </w:rPr>
              <w:t>GEC</w:t>
            </w:r>
            <w:r w:rsidR="000F7693" w:rsidRPr="00053970">
              <w:rPr>
                <w:sz w:val="20"/>
                <w:szCs w:val="20"/>
                <w:lang w:val="en-GB"/>
              </w:rPr>
              <w:t>)</w:t>
            </w:r>
          </w:p>
          <w:p w14:paraId="3894EAED" w14:textId="1D2EDC0D" w:rsidR="000536DD" w:rsidRDefault="00323FF9" w:rsidP="00BB2951">
            <w:pPr>
              <w:pStyle w:val="ListParagraph"/>
              <w:numPr>
                <w:ilvl w:val="0"/>
                <w:numId w:val="8"/>
              </w:numPr>
              <w:spacing w:before="40"/>
              <w:ind w:left="312" w:hanging="284"/>
              <w:rPr>
                <w:sz w:val="20"/>
                <w:szCs w:val="20"/>
                <w:lang w:val="en-GB"/>
              </w:rPr>
            </w:pPr>
            <w:r w:rsidRPr="00053970">
              <w:rPr>
                <w:sz w:val="20"/>
                <w:szCs w:val="20"/>
                <w:lang w:val="en-GB"/>
              </w:rPr>
              <w:t xml:space="preserve">2021 </w:t>
            </w:r>
            <w:hyperlink r:id="rId23" w:history="1">
              <w:r w:rsidR="000F7693" w:rsidRPr="000536DD">
                <w:rPr>
                  <w:rStyle w:val="Hyperlink"/>
                  <w:sz w:val="20"/>
                  <w:szCs w:val="20"/>
                  <w:lang w:val="en-GB"/>
                </w:rPr>
                <w:t>PiN calculation guidance</w:t>
              </w:r>
            </w:hyperlink>
            <w:r w:rsidR="000536DD">
              <w:rPr>
                <w:sz w:val="20"/>
                <w:szCs w:val="20"/>
                <w:lang w:val="en-GB"/>
              </w:rPr>
              <w:t xml:space="preserve"> (</w:t>
            </w:r>
            <w:r w:rsidR="000536DD">
              <w:rPr>
                <w:b/>
                <w:bCs/>
                <w:sz w:val="20"/>
                <w:szCs w:val="20"/>
                <w:lang w:val="en-GB"/>
              </w:rPr>
              <w:t>GEC)</w:t>
            </w:r>
          </w:p>
          <w:p w14:paraId="43217CDC" w14:textId="43F7B93A" w:rsidR="000F7693" w:rsidRPr="00053970" w:rsidRDefault="000536DD" w:rsidP="00BB2951">
            <w:pPr>
              <w:pStyle w:val="ListParagraph"/>
              <w:numPr>
                <w:ilvl w:val="0"/>
                <w:numId w:val="8"/>
              </w:numPr>
              <w:spacing w:before="40"/>
              <w:ind w:left="312" w:hanging="284"/>
              <w:rPr>
                <w:sz w:val="20"/>
                <w:szCs w:val="20"/>
                <w:lang w:val="en-GB"/>
              </w:rPr>
            </w:pPr>
            <w:r>
              <w:rPr>
                <w:sz w:val="20"/>
                <w:szCs w:val="20"/>
                <w:lang w:val="en-GB"/>
              </w:rPr>
              <w:t>2021 PiN calculation guidance (</w:t>
            </w:r>
            <w:r w:rsidRPr="000536DD">
              <w:rPr>
                <w:color w:val="FFC000"/>
                <w:sz w:val="20"/>
                <w:szCs w:val="20"/>
                <w:lang w:val="en-GB"/>
              </w:rPr>
              <w:t>GPC/CP AOR</w:t>
            </w:r>
            <w:r>
              <w:rPr>
                <w:sz w:val="20"/>
                <w:szCs w:val="20"/>
                <w:lang w:val="en-GB"/>
              </w:rPr>
              <w:t xml:space="preserve"> </w:t>
            </w:r>
            <w:r w:rsidR="000F7693" w:rsidRPr="00053970">
              <w:rPr>
                <w:color w:val="FFC000"/>
                <w:sz w:val="20"/>
                <w:szCs w:val="20"/>
                <w:lang w:val="en-GB"/>
              </w:rPr>
              <w:t>under development</w:t>
            </w:r>
            <w:r w:rsidR="000F7693" w:rsidRPr="00053970">
              <w:rPr>
                <w:sz w:val="20"/>
                <w:szCs w:val="20"/>
                <w:lang w:val="en-GB"/>
              </w:rPr>
              <w:t>)</w:t>
            </w:r>
          </w:p>
        </w:tc>
        <w:tc>
          <w:tcPr>
            <w:tcW w:w="2524" w:type="pct"/>
          </w:tcPr>
          <w:p w14:paraId="29C42349" w14:textId="5C785F72" w:rsidR="000F7693" w:rsidRPr="00053970" w:rsidRDefault="000F7693" w:rsidP="00BB2951">
            <w:pPr>
              <w:pStyle w:val="ListParagraph"/>
              <w:numPr>
                <w:ilvl w:val="0"/>
                <w:numId w:val="8"/>
              </w:numPr>
              <w:spacing w:before="40"/>
              <w:ind w:left="312" w:hanging="284"/>
              <w:rPr>
                <w:sz w:val="20"/>
                <w:szCs w:val="20"/>
                <w:lang w:val="en-GB"/>
              </w:rPr>
            </w:pPr>
            <w:r w:rsidRPr="00053970">
              <w:rPr>
                <w:sz w:val="20"/>
                <w:szCs w:val="20"/>
                <w:lang w:val="en-GB"/>
              </w:rPr>
              <w:t xml:space="preserve">Checklist for steps for </w:t>
            </w:r>
            <w:r w:rsidR="00323FF9" w:rsidRPr="00053970">
              <w:rPr>
                <w:sz w:val="20"/>
                <w:szCs w:val="20"/>
                <w:lang w:val="en-GB"/>
              </w:rPr>
              <w:t xml:space="preserve">cross-sector </w:t>
            </w:r>
            <w:r w:rsidRPr="00053970">
              <w:rPr>
                <w:sz w:val="20"/>
                <w:szCs w:val="20"/>
                <w:lang w:val="en-GB"/>
              </w:rPr>
              <w:t>collaboration during single-sector assessment (</w:t>
            </w:r>
            <w:hyperlink r:id="rId24" w:history="1">
              <w:r w:rsidRPr="00053970">
                <w:rPr>
                  <w:rStyle w:val="Hyperlink"/>
                  <w:sz w:val="20"/>
                  <w:szCs w:val="20"/>
                  <w:lang w:val="en-GB"/>
                </w:rPr>
                <w:t xml:space="preserve">Annex </w:t>
              </w:r>
              <w:r w:rsidR="002D5171" w:rsidRPr="00053970">
                <w:rPr>
                  <w:rStyle w:val="Hyperlink"/>
                  <w:sz w:val="20"/>
                  <w:szCs w:val="20"/>
                  <w:lang w:val="en-GB"/>
                </w:rPr>
                <w:t>5</w:t>
              </w:r>
            </w:hyperlink>
            <w:r w:rsidRPr="00053970">
              <w:rPr>
                <w:sz w:val="20"/>
                <w:szCs w:val="20"/>
                <w:lang w:val="en-GB"/>
              </w:rPr>
              <w:t>)</w:t>
            </w:r>
          </w:p>
          <w:p w14:paraId="41DCB20F" w14:textId="1D42D610" w:rsidR="003C65AB" w:rsidRPr="00053970" w:rsidRDefault="000A402D" w:rsidP="003C65AB">
            <w:pPr>
              <w:pStyle w:val="ListParagraph"/>
              <w:numPr>
                <w:ilvl w:val="0"/>
                <w:numId w:val="8"/>
              </w:numPr>
              <w:spacing w:before="40"/>
              <w:ind w:left="312" w:hanging="284"/>
              <w:rPr>
                <w:sz w:val="20"/>
                <w:szCs w:val="20"/>
                <w:lang w:val="en-GB"/>
              </w:rPr>
            </w:pPr>
            <w:hyperlink r:id="rId25" w:history="1">
              <w:r w:rsidR="000F7693" w:rsidRPr="00053970">
                <w:rPr>
                  <w:rStyle w:val="Hyperlink"/>
                  <w:sz w:val="20"/>
                  <w:szCs w:val="20"/>
                  <w:lang w:val="en-GB"/>
                </w:rPr>
                <w:t>Needs Assessment Package</w:t>
              </w:r>
            </w:hyperlink>
            <w:r w:rsidR="000F7693" w:rsidRPr="00053970">
              <w:rPr>
                <w:sz w:val="20"/>
                <w:szCs w:val="20"/>
                <w:lang w:val="en-GB"/>
              </w:rPr>
              <w:t xml:space="preserve"> (</w:t>
            </w:r>
            <w:r w:rsidR="000F7693" w:rsidRPr="00053970">
              <w:rPr>
                <w:b/>
                <w:sz w:val="20"/>
                <w:szCs w:val="20"/>
                <w:lang w:val="en-GB"/>
              </w:rPr>
              <w:t>GEC)</w:t>
            </w:r>
          </w:p>
          <w:p w14:paraId="047D5019" w14:textId="051E3891" w:rsidR="003C65AB" w:rsidRPr="00053970" w:rsidRDefault="003C65AB" w:rsidP="003C65AB">
            <w:pPr>
              <w:pStyle w:val="ListParagraph"/>
              <w:numPr>
                <w:ilvl w:val="0"/>
                <w:numId w:val="8"/>
              </w:numPr>
              <w:spacing w:before="40"/>
              <w:ind w:left="312" w:hanging="284"/>
              <w:rPr>
                <w:sz w:val="20"/>
                <w:szCs w:val="20"/>
                <w:lang w:val="en-GB"/>
              </w:rPr>
            </w:pPr>
            <w:r w:rsidRPr="00053970">
              <w:rPr>
                <w:rFonts w:eastAsia="Times New Roman"/>
                <w:sz w:val="20"/>
                <w:szCs w:val="20"/>
                <w:lang w:val="en-GB"/>
              </w:rPr>
              <w:t>For gender considerations in assessments, see </w:t>
            </w:r>
            <w:hyperlink r:id="rId26" w:history="1">
              <w:r w:rsidRPr="00053970">
                <w:rPr>
                  <w:rStyle w:val="Hyperlink"/>
                  <w:rFonts w:eastAsia="Times New Roman"/>
                  <w:sz w:val="20"/>
                  <w:szCs w:val="20"/>
                  <w:lang w:val="en-GB"/>
                </w:rPr>
                <w:t>INEE Guidance Note on Gender</w:t>
              </w:r>
            </w:hyperlink>
            <w:r w:rsidRPr="00053970">
              <w:rPr>
                <w:rFonts w:eastAsia="Times New Roman"/>
                <w:sz w:val="20"/>
                <w:szCs w:val="20"/>
                <w:lang w:val="en-GB"/>
              </w:rPr>
              <w:t xml:space="preserve"> (2019) Strategies for gender-responsive assessment, monitoring, &amp; evaluation p. 42-47</w:t>
            </w:r>
          </w:p>
          <w:p w14:paraId="218B3FD8" w14:textId="77777777" w:rsidR="003C65AB" w:rsidRPr="00053970" w:rsidRDefault="003C65AB" w:rsidP="003C65AB">
            <w:pPr>
              <w:spacing w:before="40"/>
              <w:rPr>
                <w:sz w:val="20"/>
                <w:szCs w:val="20"/>
                <w:lang w:val="en-GB"/>
              </w:rPr>
            </w:pPr>
          </w:p>
          <w:p w14:paraId="76BFDBF6" w14:textId="77777777" w:rsidR="000F7693" w:rsidRPr="00053970" w:rsidRDefault="000F7693" w:rsidP="001C17D1">
            <w:pPr>
              <w:spacing w:before="40"/>
              <w:rPr>
                <w:sz w:val="20"/>
                <w:szCs w:val="20"/>
                <w:u w:val="single"/>
                <w:lang w:val="en-GB"/>
              </w:rPr>
            </w:pPr>
          </w:p>
        </w:tc>
      </w:tr>
    </w:tbl>
    <w:p w14:paraId="23A69E41" w14:textId="77777777" w:rsidR="000F7693" w:rsidRPr="00053970" w:rsidRDefault="000F7693" w:rsidP="0037509F">
      <w:pPr>
        <w:jc w:val="both"/>
        <w:rPr>
          <w:sz w:val="24"/>
          <w:szCs w:val="24"/>
          <w:lang w:val="en-GB"/>
        </w:rPr>
      </w:pPr>
    </w:p>
    <w:p w14:paraId="4A11E03B" w14:textId="77777777" w:rsidR="000F7693" w:rsidRPr="00053970" w:rsidRDefault="000F7693" w:rsidP="000F7693">
      <w:pPr>
        <w:pStyle w:val="ListParagraph"/>
        <w:jc w:val="both"/>
        <w:rPr>
          <w:sz w:val="24"/>
          <w:szCs w:val="24"/>
          <w:lang w:val="en-GB"/>
        </w:rPr>
      </w:pPr>
    </w:p>
    <w:p w14:paraId="40544E17" w14:textId="77777777" w:rsidR="000F7693" w:rsidRPr="00053970" w:rsidRDefault="000F7693" w:rsidP="00CD5E03">
      <w:pPr>
        <w:rPr>
          <w:b/>
          <w:lang w:val="en-GB"/>
        </w:rPr>
      </w:pPr>
    </w:p>
    <w:sectPr w:rsidR="000F7693" w:rsidRPr="00053970" w:rsidSect="00150202">
      <w:headerReference w:type="default" r:id="rId27"/>
      <w:pgSz w:w="15840" w:h="12240" w:orient="landscape"/>
      <w:pgMar w:top="993" w:right="1440" w:bottom="567" w:left="1440" w:header="3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267A6" w14:textId="77777777" w:rsidR="000A402D" w:rsidRDefault="000A402D" w:rsidP="004D291C">
      <w:pPr>
        <w:spacing w:after="0" w:line="240" w:lineRule="auto"/>
      </w:pPr>
      <w:r>
        <w:separator/>
      </w:r>
    </w:p>
  </w:endnote>
  <w:endnote w:type="continuationSeparator" w:id="0">
    <w:p w14:paraId="38CB453C" w14:textId="77777777" w:rsidR="000A402D" w:rsidRDefault="000A402D" w:rsidP="004D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87015" w14:textId="77777777" w:rsidR="000A402D" w:rsidRDefault="000A402D" w:rsidP="004D291C">
      <w:pPr>
        <w:spacing w:after="0" w:line="240" w:lineRule="auto"/>
      </w:pPr>
      <w:r>
        <w:separator/>
      </w:r>
    </w:p>
  </w:footnote>
  <w:footnote w:type="continuationSeparator" w:id="0">
    <w:p w14:paraId="01259B5B" w14:textId="77777777" w:rsidR="000A402D" w:rsidRDefault="000A402D" w:rsidP="004D2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702D7" w14:textId="15C93F24" w:rsidR="00027A53" w:rsidRPr="00027A53" w:rsidRDefault="00027A53" w:rsidP="00027A53">
    <w:pPr>
      <w:jc w:val="center"/>
      <w:rPr>
        <w:color w:val="0563C1" w:themeColor="hyperlink"/>
        <w:sz w:val="28"/>
        <w:szCs w:val="28"/>
        <w:u w:val="single"/>
      </w:rPr>
    </w:pPr>
    <w:r w:rsidRPr="00BB34F7">
      <w:rPr>
        <w:noProof/>
        <w:sz w:val="28"/>
        <w:szCs w:val="28"/>
        <w:u w:val="single"/>
      </w:rPr>
      <w:drawing>
        <wp:anchor distT="0" distB="0" distL="114300" distR="114300" simplePos="0" relativeHeight="251659264" behindDoc="0" locked="0" layoutInCell="1" allowOverlap="1" wp14:anchorId="49437394" wp14:editId="2E5A8C55">
          <wp:simplePos x="0" y="0"/>
          <wp:positionH relativeFrom="column">
            <wp:posOffset>8126095</wp:posOffset>
          </wp:positionH>
          <wp:positionV relativeFrom="paragraph">
            <wp:posOffset>11430</wp:posOffset>
          </wp:positionV>
          <wp:extent cx="735330" cy="266065"/>
          <wp:effectExtent l="0" t="0" r="7620" b="635"/>
          <wp:wrapNone/>
          <wp:docPr id="46"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00B23A71" w:rsidRPr="00BB34F7">
      <w:rPr>
        <w:noProof/>
        <w:sz w:val="28"/>
        <w:szCs w:val="28"/>
        <w:u w:val="single"/>
      </w:rPr>
      <w:drawing>
        <wp:anchor distT="0" distB="0" distL="114300" distR="114300" simplePos="0" relativeHeight="251660288" behindDoc="0" locked="0" layoutInCell="1" allowOverlap="1" wp14:anchorId="4AFFE83F" wp14:editId="533265DD">
          <wp:simplePos x="0" y="0"/>
          <wp:positionH relativeFrom="column">
            <wp:posOffset>7346315</wp:posOffset>
          </wp:positionH>
          <wp:positionV relativeFrom="paragraph">
            <wp:posOffset>-132715</wp:posOffset>
          </wp:positionV>
          <wp:extent cx="707390" cy="472440"/>
          <wp:effectExtent l="0" t="0" r="0" b="3810"/>
          <wp:wrapNone/>
          <wp:docPr id="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7390" cy="472440"/>
                  </a:xfrm>
                  <a:prstGeom prst="rect">
                    <a:avLst/>
                  </a:prstGeom>
                </pic:spPr>
              </pic:pic>
            </a:graphicData>
          </a:graphic>
          <wp14:sizeRelH relativeFrom="page">
            <wp14:pctWidth>0</wp14:pctWidth>
          </wp14:sizeRelH>
          <wp14:sizeRelV relativeFrom="page">
            <wp14:pctHeight>0</wp14:pctHeight>
          </wp14:sizeRelV>
        </wp:anchor>
      </w:drawing>
    </w:r>
    <w:r w:rsidR="00B23A71" w:rsidRPr="006B74FC">
      <w:rPr>
        <w:sz w:val="28"/>
        <w:szCs w:val="28"/>
        <w:u w:val="single"/>
      </w:rPr>
      <w:t>CP</w:t>
    </w:r>
    <w:r w:rsidR="00B23A71">
      <w:rPr>
        <w:sz w:val="28"/>
        <w:szCs w:val="28"/>
        <w:u w:val="single"/>
      </w:rPr>
      <w:t>-</w:t>
    </w:r>
    <w:r w:rsidR="00B23A71" w:rsidRPr="006B74FC">
      <w:rPr>
        <w:sz w:val="28"/>
        <w:szCs w:val="28"/>
        <w:u w:val="single"/>
      </w:rPr>
      <w:t xml:space="preserve">EiE </w:t>
    </w:r>
    <w:r w:rsidR="00B23A71">
      <w:rPr>
        <w:sz w:val="28"/>
        <w:szCs w:val="28"/>
        <w:u w:val="single"/>
      </w:rPr>
      <w:t xml:space="preserve">Collaboration Framework </w:t>
    </w:r>
    <w:hyperlink r:id="rId3" w:history="1">
      <w:r w:rsidR="00B23A71" w:rsidRPr="000A13FB">
        <w:rPr>
          <w:rStyle w:val="Hyperlink"/>
          <w:sz w:val="28"/>
          <w:szCs w:val="28"/>
        </w:rPr>
        <w:t>package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86CA9"/>
    <w:multiLevelType w:val="hybridMultilevel"/>
    <w:tmpl w:val="8B4C6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236E5E"/>
    <w:multiLevelType w:val="hybridMultilevel"/>
    <w:tmpl w:val="CD700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A71096"/>
    <w:multiLevelType w:val="hybridMultilevel"/>
    <w:tmpl w:val="17127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AF16628"/>
    <w:multiLevelType w:val="hybridMultilevel"/>
    <w:tmpl w:val="EBA6EBA0"/>
    <w:lvl w:ilvl="0" w:tplc="9E083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043309"/>
    <w:multiLevelType w:val="hybridMultilevel"/>
    <w:tmpl w:val="AF7A7A98"/>
    <w:lvl w:ilvl="0" w:tplc="613CD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6353A4"/>
    <w:multiLevelType w:val="hybridMultilevel"/>
    <w:tmpl w:val="07F6D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2A4514"/>
    <w:multiLevelType w:val="hybridMultilevel"/>
    <w:tmpl w:val="A642B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9"/>
  </w:num>
  <w:num w:numId="5">
    <w:abstractNumId w:val="4"/>
  </w:num>
  <w:num w:numId="6">
    <w:abstractNumId w:val="8"/>
  </w:num>
  <w:num w:numId="7">
    <w:abstractNumId w:val="6"/>
  </w:num>
  <w:num w:numId="8">
    <w:abstractNumId w:val="0"/>
  </w:num>
  <w:num w:numId="9">
    <w:abstractNumId w:val="7"/>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158"/>
    <w:rsid w:val="00001014"/>
    <w:rsid w:val="000034C1"/>
    <w:rsid w:val="00011D71"/>
    <w:rsid w:val="0001289B"/>
    <w:rsid w:val="00012BFE"/>
    <w:rsid w:val="0001519E"/>
    <w:rsid w:val="00022B17"/>
    <w:rsid w:val="00027A53"/>
    <w:rsid w:val="00033951"/>
    <w:rsid w:val="00036301"/>
    <w:rsid w:val="000418ED"/>
    <w:rsid w:val="00041A65"/>
    <w:rsid w:val="00050997"/>
    <w:rsid w:val="000536DD"/>
    <w:rsid w:val="00053970"/>
    <w:rsid w:val="00056FDA"/>
    <w:rsid w:val="00061E8A"/>
    <w:rsid w:val="00062153"/>
    <w:rsid w:val="00062C1C"/>
    <w:rsid w:val="0006684F"/>
    <w:rsid w:val="00067196"/>
    <w:rsid w:val="000673F8"/>
    <w:rsid w:val="000818C0"/>
    <w:rsid w:val="00082011"/>
    <w:rsid w:val="00087B42"/>
    <w:rsid w:val="000A1FD1"/>
    <w:rsid w:val="000A402D"/>
    <w:rsid w:val="000A5B51"/>
    <w:rsid w:val="000A7EA9"/>
    <w:rsid w:val="000B161C"/>
    <w:rsid w:val="000B47A3"/>
    <w:rsid w:val="000C6336"/>
    <w:rsid w:val="000C681F"/>
    <w:rsid w:val="000C7076"/>
    <w:rsid w:val="000D18AF"/>
    <w:rsid w:val="000D3CB3"/>
    <w:rsid w:val="000D459D"/>
    <w:rsid w:val="000D677B"/>
    <w:rsid w:val="000D7537"/>
    <w:rsid w:val="000E2813"/>
    <w:rsid w:val="000E73B2"/>
    <w:rsid w:val="000F0513"/>
    <w:rsid w:val="000F1BD0"/>
    <w:rsid w:val="000F44ED"/>
    <w:rsid w:val="000F7693"/>
    <w:rsid w:val="00102093"/>
    <w:rsid w:val="00106158"/>
    <w:rsid w:val="001116BE"/>
    <w:rsid w:val="00113195"/>
    <w:rsid w:val="00114737"/>
    <w:rsid w:val="00122DF5"/>
    <w:rsid w:val="00132128"/>
    <w:rsid w:val="00135FBE"/>
    <w:rsid w:val="00141530"/>
    <w:rsid w:val="0014219F"/>
    <w:rsid w:val="00150202"/>
    <w:rsid w:val="001505EA"/>
    <w:rsid w:val="0016174F"/>
    <w:rsid w:val="00164D0C"/>
    <w:rsid w:val="001671A4"/>
    <w:rsid w:val="001711FB"/>
    <w:rsid w:val="00173975"/>
    <w:rsid w:val="00175636"/>
    <w:rsid w:val="001815CE"/>
    <w:rsid w:val="00184224"/>
    <w:rsid w:val="00190D2B"/>
    <w:rsid w:val="00192A64"/>
    <w:rsid w:val="001A3DCB"/>
    <w:rsid w:val="001A79B2"/>
    <w:rsid w:val="001B0597"/>
    <w:rsid w:val="001B07FF"/>
    <w:rsid w:val="001C03BE"/>
    <w:rsid w:val="001C17D1"/>
    <w:rsid w:val="001C3B6E"/>
    <w:rsid w:val="001C4EDD"/>
    <w:rsid w:val="001C638F"/>
    <w:rsid w:val="001C64EF"/>
    <w:rsid w:val="001D055B"/>
    <w:rsid w:val="001D5415"/>
    <w:rsid w:val="001D6E3D"/>
    <w:rsid w:val="001D718C"/>
    <w:rsid w:val="001E0905"/>
    <w:rsid w:val="001E18E4"/>
    <w:rsid w:val="001E23A7"/>
    <w:rsid w:val="001E752F"/>
    <w:rsid w:val="001E7FF2"/>
    <w:rsid w:val="001F4C71"/>
    <w:rsid w:val="00202BB4"/>
    <w:rsid w:val="00206B18"/>
    <w:rsid w:val="002107D4"/>
    <w:rsid w:val="00211DB4"/>
    <w:rsid w:val="00215ABA"/>
    <w:rsid w:val="00216061"/>
    <w:rsid w:val="002218C1"/>
    <w:rsid w:val="00223E3E"/>
    <w:rsid w:val="00224356"/>
    <w:rsid w:val="00224850"/>
    <w:rsid w:val="002346AD"/>
    <w:rsid w:val="002414C2"/>
    <w:rsid w:val="00244BE9"/>
    <w:rsid w:val="00247847"/>
    <w:rsid w:val="00255719"/>
    <w:rsid w:val="0025671B"/>
    <w:rsid w:val="00260D50"/>
    <w:rsid w:val="002634B4"/>
    <w:rsid w:val="00270B9F"/>
    <w:rsid w:val="00273121"/>
    <w:rsid w:val="00274D92"/>
    <w:rsid w:val="00285546"/>
    <w:rsid w:val="00285EB5"/>
    <w:rsid w:val="002862AA"/>
    <w:rsid w:val="00286734"/>
    <w:rsid w:val="0028785D"/>
    <w:rsid w:val="00292F07"/>
    <w:rsid w:val="002950E2"/>
    <w:rsid w:val="002A1919"/>
    <w:rsid w:val="002A1AEF"/>
    <w:rsid w:val="002A3296"/>
    <w:rsid w:val="002A41B2"/>
    <w:rsid w:val="002A49A2"/>
    <w:rsid w:val="002A60C7"/>
    <w:rsid w:val="002B00A0"/>
    <w:rsid w:val="002C008E"/>
    <w:rsid w:val="002C16E2"/>
    <w:rsid w:val="002C237F"/>
    <w:rsid w:val="002C321F"/>
    <w:rsid w:val="002C5F59"/>
    <w:rsid w:val="002C6D9D"/>
    <w:rsid w:val="002D1D87"/>
    <w:rsid w:val="002D5171"/>
    <w:rsid w:val="002E38A0"/>
    <w:rsid w:val="002F056D"/>
    <w:rsid w:val="002F0B5E"/>
    <w:rsid w:val="002F0F3E"/>
    <w:rsid w:val="002F651F"/>
    <w:rsid w:val="003003DC"/>
    <w:rsid w:val="00303371"/>
    <w:rsid w:val="003040F4"/>
    <w:rsid w:val="00321B19"/>
    <w:rsid w:val="00323FF9"/>
    <w:rsid w:val="00324300"/>
    <w:rsid w:val="00324F1B"/>
    <w:rsid w:val="00335FBF"/>
    <w:rsid w:val="00337728"/>
    <w:rsid w:val="00340288"/>
    <w:rsid w:val="00342D7E"/>
    <w:rsid w:val="0034437D"/>
    <w:rsid w:val="0034666C"/>
    <w:rsid w:val="00350F5F"/>
    <w:rsid w:val="00355834"/>
    <w:rsid w:val="00372DEB"/>
    <w:rsid w:val="0037509F"/>
    <w:rsid w:val="003800E2"/>
    <w:rsid w:val="003806EF"/>
    <w:rsid w:val="00380DD2"/>
    <w:rsid w:val="0038181B"/>
    <w:rsid w:val="00382596"/>
    <w:rsid w:val="00383CEC"/>
    <w:rsid w:val="00393660"/>
    <w:rsid w:val="003938B5"/>
    <w:rsid w:val="003A5AA5"/>
    <w:rsid w:val="003B2AF3"/>
    <w:rsid w:val="003B6381"/>
    <w:rsid w:val="003B7079"/>
    <w:rsid w:val="003C094B"/>
    <w:rsid w:val="003C65AB"/>
    <w:rsid w:val="003C77EC"/>
    <w:rsid w:val="003D5295"/>
    <w:rsid w:val="003D5400"/>
    <w:rsid w:val="003E1CED"/>
    <w:rsid w:val="003E6625"/>
    <w:rsid w:val="003F2478"/>
    <w:rsid w:val="003F2F47"/>
    <w:rsid w:val="003F5E97"/>
    <w:rsid w:val="0040071B"/>
    <w:rsid w:val="0040124B"/>
    <w:rsid w:val="0040225F"/>
    <w:rsid w:val="004123F5"/>
    <w:rsid w:val="00414ADA"/>
    <w:rsid w:val="004259DB"/>
    <w:rsid w:val="00426D43"/>
    <w:rsid w:val="00431084"/>
    <w:rsid w:val="004332F4"/>
    <w:rsid w:val="00435EEA"/>
    <w:rsid w:val="0043631D"/>
    <w:rsid w:val="00445040"/>
    <w:rsid w:val="00445746"/>
    <w:rsid w:val="00446BF3"/>
    <w:rsid w:val="004509C3"/>
    <w:rsid w:val="00471001"/>
    <w:rsid w:val="00472E55"/>
    <w:rsid w:val="00477380"/>
    <w:rsid w:val="00482F57"/>
    <w:rsid w:val="004879D9"/>
    <w:rsid w:val="00490550"/>
    <w:rsid w:val="004A0BC5"/>
    <w:rsid w:val="004B06EC"/>
    <w:rsid w:val="004B371A"/>
    <w:rsid w:val="004C0F5D"/>
    <w:rsid w:val="004C2B22"/>
    <w:rsid w:val="004C740D"/>
    <w:rsid w:val="004C7A24"/>
    <w:rsid w:val="004D291C"/>
    <w:rsid w:val="004D3424"/>
    <w:rsid w:val="004D3EB2"/>
    <w:rsid w:val="004D406B"/>
    <w:rsid w:val="004D47FF"/>
    <w:rsid w:val="004D69A2"/>
    <w:rsid w:val="004E1B6E"/>
    <w:rsid w:val="004F0211"/>
    <w:rsid w:val="004F5C2E"/>
    <w:rsid w:val="0050222D"/>
    <w:rsid w:val="0050525A"/>
    <w:rsid w:val="00505DDE"/>
    <w:rsid w:val="00516DF4"/>
    <w:rsid w:val="005178D8"/>
    <w:rsid w:val="00523CAA"/>
    <w:rsid w:val="0052690D"/>
    <w:rsid w:val="00527DB5"/>
    <w:rsid w:val="00532059"/>
    <w:rsid w:val="00543561"/>
    <w:rsid w:val="00543F93"/>
    <w:rsid w:val="00546C3A"/>
    <w:rsid w:val="00551731"/>
    <w:rsid w:val="00554EAC"/>
    <w:rsid w:val="00561F4A"/>
    <w:rsid w:val="00582913"/>
    <w:rsid w:val="00582ED7"/>
    <w:rsid w:val="005865BF"/>
    <w:rsid w:val="0059003F"/>
    <w:rsid w:val="0059094F"/>
    <w:rsid w:val="005946FD"/>
    <w:rsid w:val="00595E99"/>
    <w:rsid w:val="0059724D"/>
    <w:rsid w:val="005A05CD"/>
    <w:rsid w:val="005A2FE4"/>
    <w:rsid w:val="005B34CE"/>
    <w:rsid w:val="005B55AF"/>
    <w:rsid w:val="005B7F3A"/>
    <w:rsid w:val="005D6B37"/>
    <w:rsid w:val="005D7227"/>
    <w:rsid w:val="005E04B4"/>
    <w:rsid w:val="005E09B2"/>
    <w:rsid w:val="005E195A"/>
    <w:rsid w:val="005E31CF"/>
    <w:rsid w:val="005E63D3"/>
    <w:rsid w:val="005E67DB"/>
    <w:rsid w:val="005F33BA"/>
    <w:rsid w:val="005F74BA"/>
    <w:rsid w:val="006071F7"/>
    <w:rsid w:val="00611F56"/>
    <w:rsid w:val="00621488"/>
    <w:rsid w:val="00621E3F"/>
    <w:rsid w:val="00624B6F"/>
    <w:rsid w:val="00625624"/>
    <w:rsid w:val="00626408"/>
    <w:rsid w:val="006328B5"/>
    <w:rsid w:val="00636382"/>
    <w:rsid w:val="00637199"/>
    <w:rsid w:val="00640ACE"/>
    <w:rsid w:val="0064119E"/>
    <w:rsid w:val="00641236"/>
    <w:rsid w:val="00641380"/>
    <w:rsid w:val="00646F54"/>
    <w:rsid w:val="006516CC"/>
    <w:rsid w:val="00651C60"/>
    <w:rsid w:val="00652EB7"/>
    <w:rsid w:val="00657C4E"/>
    <w:rsid w:val="00666303"/>
    <w:rsid w:val="0067419C"/>
    <w:rsid w:val="0067554B"/>
    <w:rsid w:val="00680B1B"/>
    <w:rsid w:val="0068446F"/>
    <w:rsid w:val="00687737"/>
    <w:rsid w:val="00687C6D"/>
    <w:rsid w:val="006926BE"/>
    <w:rsid w:val="0069513F"/>
    <w:rsid w:val="00695C0F"/>
    <w:rsid w:val="006A0B0D"/>
    <w:rsid w:val="006A3B2D"/>
    <w:rsid w:val="006B04E3"/>
    <w:rsid w:val="006B3F8D"/>
    <w:rsid w:val="006B74FC"/>
    <w:rsid w:val="006C234A"/>
    <w:rsid w:val="006D2EEA"/>
    <w:rsid w:val="006D341B"/>
    <w:rsid w:val="006E1179"/>
    <w:rsid w:val="006E1F48"/>
    <w:rsid w:val="006E4032"/>
    <w:rsid w:val="006E71BC"/>
    <w:rsid w:val="006F3929"/>
    <w:rsid w:val="00701291"/>
    <w:rsid w:val="00705291"/>
    <w:rsid w:val="00705B23"/>
    <w:rsid w:val="007076E7"/>
    <w:rsid w:val="00715B06"/>
    <w:rsid w:val="007170A6"/>
    <w:rsid w:val="00720817"/>
    <w:rsid w:val="007236C3"/>
    <w:rsid w:val="00726FCA"/>
    <w:rsid w:val="007331EE"/>
    <w:rsid w:val="00744B91"/>
    <w:rsid w:val="00745B7E"/>
    <w:rsid w:val="00746ECB"/>
    <w:rsid w:val="00747885"/>
    <w:rsid w:val="0076300F"/>
    <w:rsid w:val="00763AB5"/>
    <w:rsid w:val="007647D9"/>
    <w:rsid w:val="007660A7"/>
    <w:rsid w:val="0076748A"/>
    <w:rsid w:val="00770AC4"/>
    <w:rsid w:val="00792D15"/>
    <w:rsid w:val="00795BD7"/>
    <w:rsid w:val="007A01AE"/>
    <w:rsid w:val="007A2463"/>
    <w:rsid w:val="007A3717"/>
    <w:rsid w:val="007B2120"/>
    <w:rsid w:val="007B3380"/>
    <w:rsid w:val="007B483E"/>
    <w:rsid w:val="007C5C9C"/>
    <w:rsid w:val="007E215C"/>
    <w:rsid w:val="007E7FAD"/>
    <w:rsid w:val="00805B7F"/>
    <w:rsid w:val="008079FE"/>
    <w:rsid w:val="008114E3"/>
    <w:rsid w:val="00817C1E"/>
    <w:rsid w:val="0082194F"/>
    <w:rsid w:val="00834373"/>
    <w:rsid w:val="00835CF0"/>
    <w:rsid w:val="00836307"/>
    <w:rsid w:val="00836822"/>
    <w:rsid w:val="0084593E"/>
    <w:rsid w:val="0085165F"/>
    <w:rsid w:val="0086095D"/>
    <w:rsid w:val="00861788"/>
    <w:rsid w:val="00866D81"/>
    <w:rsid w:val="00870BF1"/>
    <w:rsid w:val="0087725E"/>
    <w:rsid w:val="008828EB"/>
    <w:rsid w:val="008848F7"/>
    <w:rsid w:val="008978D3"/>
    <w:rsid w:val="008A4FDE"/>
    <w:rsid w:val="008A52AB"/>
    <w:rsid w:val="008B33A8"/>
    <w:rsid w:val="008B52AE"/>
    <w:rsid w:val="008C2E4B"/>
    <w:rsid w:val="008D3998"/>
    <w:rsid w:val="008D46B8"/>
    <w:rsid w:val="008D7384"/>
    <w:rsid w:val="008E0417"/>
    <w:rsid w:val="008E7343"/>
    <w:rsid w:val="008F1001"/>
    <w:rsid w:val="008F16D5"/>
    <w:rsid w:val="00900699"/>
    <w:rsid w:val="00903262"/>
    <w:rsid w:val="00903368"/>
    <w:rsid w:val="00905C7E"/>
    <w:rsid w:val="009063A8"/>
    <w:rsid w:val="0090749B"/>
    <w:rsid w:val="00911016"/>
    <w:rsid w:val="009142EB"/>
    <w:rsid w:val="00920741"/>
    <w:rsid w:val="0092263E"/>
    <w:rsid w:val="00926FC2"/>
    <w:rsid w:val="00932773"/>
    <w:rsid w:val="00934212"/>
    <w:rsid w:val="00937122"/>
    <w:rsid w:val="009414BA"/>
    <w:rsid w:val="009417EF"/>
    <w:rsid w:val="00942936"/>
    <w:rsid w:val="0094504A"/>
    <w:rsid w:val="009525A7"/>
    <w:rsid w:val="009578F1"/>
    <w:rsid w:val="009635F7"/>
    <w:rsid w:val="00966052"/>
    <w:rsid w:val="00966973"/>
    <w:rsid w:val="009779B4"/>
    <w:rsid w:val="00981CD9"/>
    <w:rsid w:val="00983A9B"/>
    <w:rsid w:val="00992A75"/>
    <w:rsid w:val="0099365F"/>
    <w:rsid w:val="009A5E0F"/>
    <w:rsid w:val="009A64CA"/>
    <w:rsid w:val="009B3B33"/>
    <w:rsid w:val="009C1D0A"/>
    <w:rsid w:val="009C3255"/>
    <w:rsid w:val="009C58C7"/>
    <w:rsid w:val="009C7903"/>
    <w:rsid w:val="009D2CCC"/>
    <w:rsid w:val="009D4FCA"/>
    <w:rsid w:val="009D7A23"/>
    <w:rsid w:val="009E25F8"/>
    <w:rsid w:val="009E34E8"/>
    <w:rsid w:val="009E4483"/>
    <w:rsid w:val="009E62ED"/>
    <w:rsid w:val="009F1D87"/>
    <w:rsid w:val="009F2EA0"/>
    <w:rsid w:val="009F498C"/>
    <w:rsid w:val="009F5304"/>
    <w:rsid w:val="009F60BB"/>
    <w:rsid w:val="00A022D9"/>
    <w:rsid w:val="00A070B7"/>
    <w:rsid w:val="00A21626"/>
    <w:rsid w:val="00A241A2"/>
    <w:rsid w:val="00A26CC0"/>
    <w:rsid w:val="00A32227"/>
    <w:rsid w:val="00A340A7"/>
    <w:rsid w:val="00A347E7"/>
    <w:rsid w:val="00A34C6F"/>
    <w:rsid w:val="00A35059"/>
    <w:rsid w:val="00A42F74"/>
    <w:rsid w:val="00A455D1"/>
    <w:rsid w:val="00A4583A"/>
    <w:rsid w:val="00A52FE0"/>
    <w:rsid w:val="00A5481F"/>
    <w:rsid w:val="00A560FA"/>
    <w:rsid w:val="00A568A6"/>
    <w:rsid w:val="00A605BB"/>
    <w:rsid w:val="00A62166"/>
    <w:rsid w:val="00A64477"/>
    <w:rsid w:val="00A700FC"/>
    <w:rsid w:val="00A702F0"/>
    <w:rsid w:val="00A72DED"/>
    <w:rsid w:val="00A763EC"/>
    <w:rsid w:val="00A827B8"/>
    <w:rsid w:val="00A8443E"/>
    <w:rsid w:val="00A86B41"/>
    <w:rsid w:val="00A87968"/>
    <w:rsid w:val="00A92485"/>
    <w:rsid w:val="00A92FB4"/>
    <w:rsid w:val="00AA0CFB"/>
    <w:rsid w:val="00AA784E"/>
    <w:rsid w:val="00AA7FBE"/>
    <w:rsid w:val="00AB17AC"/>
    <w:rsid w:val="00AB4F5E"/>
    <w:rsid w:val="00AC2BBB"/>
    <w:rsid w:val="00AC41F4"/>
    <w:rsid w:val="00AC5113"/>
    <w:rsid w:val="00AD32AE"/>
    <w:rsid w:val="00AD503E"/>
    <w:rsid w:val="00AD6080"/>
    <w:rsid w:val="00AD63CB"/>
    <w:rsid w:val="00AE1389"/>
    <w:rsid w:val="00AE465D"/>
    <w:rsid w:val="00AE6D29"/>
    <w:rsid w:val="00AF0686"/>
    <w:rsid w:val="00AF2A11"/>
    <w:rsid w:val="00AF7C13"/>
    <w:rsid w:val="00B01CAA"/>
    <w:rsid w:val="00B02543"/>
    <w:rsid w:val="00B062B6"/>
    <w:rsid w:val="00B110B2"/>
    <w:rsid w:val="00B14C29"/>
    <w:rsid w:val="00B15FFC"/>
    <w:rsid w:val="00B1757D"/>
    <w:rsid w:val="00B21BE3"/>
    <w:rsid w:val="00B23A71"/>
    <w:rsid w:val="00B277EE"/>
    <w:rsid w:val="00B3721D"/>
    <w:rsid w:val="00B37F94"/>
    <w:rsid w:val="00B47B47"/>
    <w:rsid w:val="00B528FA"/>
    <w:rsid w:val="00B532ED"/>
    <w:rsid w:val="00B533B5"/>
    <w:rsid w:val="00B5756E"/>
    <w:rsid w:val="00B610F1"/>
    <w:rsid w:val="00B642A7"/>
    <w:rsid w:val="00B6598B"/>
    <w:rsid w:val="00B67370"/>
    <w:rsid w:val="00B72726"/>
    <w:rsid w:val="00B74790"/>
    <w:rsid w:val="00B75805"/>
    <w:rsid w:val="00B76F99"/>
    <w:rsid w:val="00B828DA"/>
    <w:rsid w:val="00B91D90"/>
    <w:rsid w:val="00B91E6E"/>
    <w:rsid w:val="00B94A43"/>
    <w:rsid w:val="00BA5F3F"/>
    <w:rsid w:val="00BB2951"/>
    <w:rsid w:val="00BB45F8"/>
    <w:rsid w:val="00BB5487"/>
    <w:rsid w:val="00BC0A5B"/>
    <w:rsid w:val="00BC2258"/>
    <w:rsid w:val="00BC32A6"/>
    <w:rsid w:val="00BC34B7"/>
    <w:rsid w:val="00BC4444"/>
    <w:rsid w:val="00BC4A2A"/>
    <w:rsid w:val="00BD5800"/>
    <w:rsid w:val="00BD7869"/>
    <w:rsid w:val="00BD79A4"/>
    <w:rsid w:val="00BE1135"/>
    <w:rsid w:val="00BE53A9"/>
    <w:rsid w:val="00BE7772"/>
    <w:rsid w:val="00BF4649"/>
    <w:rsid w:val="00C019C6"/>
    <w:rsid w:val="00C04C2E"/>
    <w:rsid w:val="00C05D6A"/>
    <w:rsid w:val="00C2164C"/>
    <w:rsid w:val="00C37500"/>
    <w:rsid w:val="00C465B7"/>
    <w:rsid w:val="00C4710F"/>
    <w:rsid w:val="00C536E9"/>
    <w:rsid w:val="00C60B90"/>
    <w:rsid w:val="00C62304"/>
    <w:rsid w:val="00C62C6A"/>
    <w:rsid w:val="00C62CE1"/>
    <w:rsid w:val="00C64218"/>
    <w:rsid w:val="00C64C13"/>
    <w:rsid w:val="00C66E52"/>
    <w:rsid w:val="00C67218"/>
    <w:rsid w:val="00C72CEA"/>
    <w:rsid w:val="00C80FE9"/>
    <w:rsid w:val="00C8679F"/>
    <w:rsid w:val="00C87A95"/>
    <w:rsid w:val="00C91FDE"/>
    <w:rsid w:val="00C930E7"/>
    <w:rsid w:val="00CA02A9"/>
    <w:rsid w:val="00CA7ED8"/>
    <w:rsid w:val="00CB7B7D"/>
    <w:rsid w:val="00CC2454"/>
    <w:rsid w:val="00CC2DC5"/>
    <w:rsid w:val="00CC3762"/>
    <w:rsid w:val="00CC4A06"/>
    <w:rsid w:val="00CD5E03"/>
    <w:rsid w:val="00CD6D7E"/>
    <w:rsid w:val="00CE1BA0"/>
    <w:rsid w:val="00CF1E80"/>
    <w:rsid w:val="00CF510E"/>
    <w:rsid w:val="00CF5A8D"/>
    <w:rsid w:val="00CF5A97"/>
    <w:rsid w:val="00CF65CF"/>
    <w:rsid w:val="00D04051"/>
    <w:rsid w:val="00D04DF9"/>
    <w:rsid w:val="00D07C63"/>
    <w:rsid w:val="00D11B9B"/>
    <w:rsid w:val="00D22E82"/>
    <w:rsid w:val="00D24B2A"/>
    <w:rsid w:val="00D2746E"/>
    <w:rsid w:val="00D352C7"/>
    <w:rsid w:val="00D402E5"/>
    <w:rsid w:val="00D405B4"/>
    <w:rsid w:val="00D42C01"/>
    <w:rsid w:val="00D51B8A"/>
    <w:rsid w:val="00D520FB"/>
    <w:rsid w:val="00D549C9"/>
    <w:rsid w:val="00D56AEB"/>
    <w:rsid w:val="00D6480D"/>
    <w:rsid w:val="00D65F9A"/>
    <w:rsid w:val="00D705E1"/>
    <w:rsid w:val="00D70AED"/>
    <w:rsid w:val="00D72E6A"/>
    <w:rsid w:val="00D740D5"/>
    <w:rsid w:val="00D8182F"/>
    <w:rsid w:val="00D827A3"/>
    <w:rsid w:val="00D900C5"/>
    <w:rsid w:val="00D91701"/>
    <w:rsid w:val="00D918E0"/>
    <w:rsid w:val="00D93679"/>
    <w:rsid w:val="00D978E0"/>
    <w:rsid w:val="00D97D4E"/>
    <w:rsid w:val="00DA085C"/>
    <w:rsid w:val="00DA2906"/>
    <w:rsid w:val="00DB2A4A"/>
    <w:rsid w:val="00DC01A2"/>
    <w:rsid w:val="00DC0DD1"/>
    <w:rsid w:val="00DC18BF"/>
    <w:rsid w:val="00DC2876"/>
    <w:rsid w:val="00DC63BE"/>
    <w:rsid w:val="00DC667C"/>
    <w:rsid w:val="00DC76C2"/>
    <w:rsid w:val="00DD3D29"/>
    <w:rsid w:val="00DD4DB8"/>
    <w:rsid w:val="00DD723C"/>
    <w:rsid w:val="00DE4162"/>
    <w:rsid w:val="00DE6FBD"/>
    <w:rsid w:val="00DF1AFE"/>
    <w:rsid w:val="00E0743E"/>
    <w:rsid w:val="00E07745"/>
    <w:rsid w:val="00E07F4B"/>
    <w:rsid w:val="00E1493A"/>
    <w:rsid w:val="00E16923"/>
    <w:rsid w:val="00E2064B"/>
    <w:rsid w:val="00E210F8"/>
    <w:rsid w:val="00E24017"/>
    <w:rsid w:val="00E25FA3"/>
    <w:rsid w:val="00E31158"/>
    <w:rsid w:val="00E32C29"/>
    <w:rsid w:val="00E35BC4"/>
    <w:rsid w:val="00E37EEB"/>
    <w:rsid w:val="00E401DF"/>
    <w:rsid w:val="00E42D48"/>
    <w:rsid w:val="00E4349C"/>
    <w:rsid w:val="00E43A5A"/>
    <w:rsid w:val="00E55321"/>
    <w:rsid w:val="00E61E45"/>
    <w:rsid w:val="00E63CB5"/>
    <w:rsid w:val="00E640BA"/>
    <w:rsid w:val="00E649EA"/>
    <w:rsid w:val="00E70F9B"/>
    <w:rsid w:val="00E71C7B"/>
    <w:rsid w:val="00E7364D"/>
    <w:rsid w:val="00E7638E"/>
    <w:rsid w:val="00E7654C"/>
    <w:rsid w:val="00E8107A"/>
    <w:rsid w:val="00E8251E"/>
    <w:rsid w:val="00E84889"/>
    <w:rsid w:val="00E877FD"/>
    <w:rsid w:val="00E91A21"/>
    <w:rsid w:val="00E91ADF"/>
    <w:rsid w:val="00E928AF"/>
    <w:rsid w:val="00E93E7A"/>
    <w:rsid w:val="00E9634C"/>
    <w:rsid w:val="00EA2818"/>
    <w:rsid w:val="00EA39E3"/>
    <w:rsid w:val="00EB3AC1"/>
    <w:rsid w:val="00EC0053"/>
    <w:rsid w:val="00EC7153"/>
    <w:rsid w:val="00EF09DB"/>
    <w:rsid w:val="00EF2887"/>
    <w:rsid w:val="00F02EAA"/>
    <w:rsid w:val="00F06260"/>
    <w:rsid w:val="00F06321"/>
    <w:rsid w:val="00F12014"/>
    <w:rsid w:val="00F14B75"/>
    <w:rsid w:val="00F161F4"/>
    <w:rsid w:val="00F16F23"/>
    <w:rsid w:val="00F228EA"/>
    <w:rsid w:val="00F2375B"/>
    <w:rsid w:val="00F2689B"/>
    <w:rsid w:val="00F302D4"/>
    <w:rsid w:val="00F3059B"/>
    <w:rsid w:val="00F32AC3"/>
    <w:rsid w:val="00F37F62"/>
    <w:rsid w:val="00F60E57"/>
    <w:rsid w:val="00F6376F"/>
    <w:rsid w:val="00F64AAB"/>
    <w:rsid w:val="00F67BC5"/>
    <w:rsid w:val="00F70BF3"/>
    <w:rsid w:val="00F7176C"/>
    <w:rsid w:val="00F7185B"/>
    <w:rsid w:val="00F75189"/>
    <w:rsid w:val="00F80611"/>
    <w:rsid w:val="00F84055"/>
    <w:rsid w:val="00F849D4"/>
    <w:rsid w:val="00F87643"/>
    <w:rsid w:val="00F87CC0"/>
    <w:rsid w:val="00FA1DCA"/>
    <w:rsid w:val="00FA36C1"/>
    <w:rsid w:val="00FB0C08"/>
    <w:rsid w:val="00FB28E2"/>
    <w:rsid w:val="00FB4CC1"/>
    <w:rsid w:val="00FC3641"/>
    <w:rsid w:val="00FC5DE0"/>
    <w:rsid w:val="00FC6A10"/>
    <w:rsid w:val="00FD5A1F"/>
    <w:rsid w:val="00FD7DBF"/>
    <w:rsid w:val="00FE45E0"/>
    <w:rsid w:val="00FE7AA6"/>
    <w:rsid w:val="00FF2374"/>
    <w:rsid w:val="00FF3497"/>
    <w:rsid w:val="00FF5D1F"/>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B0D"/>
    <w:pPr>
      <w:ind w:left="720"/>
      <w:contextualSpacing/>
    </w:pPr>
  </w:style>
  <w:style w:type="table" w:styleId="TableGrid">
    <w:name w:val="Table Grid"/>
    <w:basedOn w:val="TableNormal"/>
    <w:uiPriority w:val="39"/>
    <w:rsid w:val="00286734"/>
    <w:pPr>
      <w:spacing w:after="0" w:line="240" w:lineRule="auto"/>
    </w:pPr>
    <w:rPr>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6E7"/>
    <w:rPr>
      <w:color w:val="0563C1" w:themeColor="hyperlink"/>
      <w:u w:val="single"/>
    </w:rPr>
  </w:style>
  <w:style w:type="character" w:styleId="CommentReference">
    <w:name w:val="annotation reference"/>
    <w:basedOn w:val="DefaultParagraphFont"/>
    <w:uiPriority w:val="99"/>
    <w:semiHidden/>
    <w:unhideWhenUsed/>
    <w:rsid w:val="001A79B2"/>
    <w:rPr>
      <w:sz w:val="18"/>
      <w:szCs w:val="18"/>
    </w:rPr>
  </w:style>
  <w:style w:type="paragraph" w:styleId="CommentText">
    <w:name w:val="annotation text"/>
    <w:basedOn w:val="Normal"/>
    <w:link w:val="CommentTextChar"/>
    <w:uiPriority w:val="99"/>
    <w:unhideWhenUsed/>
    <w:rsid w:val="001A79B2"/>
    <w:pPr>
      <w:spacing w:line="240" w:lineRule="auto"/>
    </w:pPr>
    <w:rPr>
      <w:sz w:val="24"/>
      <w:szCs w:val="24"/>
    </w:rPr>
  </w:style>
  <w:style w:type="character" w:customStyle="1" w:styleId="CommentTextChar">
    <w:name w:val="Comment Text Char"/>
    <w:basedOn w:val="DefaultParagraphFont"/>
    <w:link w:val="CommentText"/>
    <w:uiPriority w:val="99"/>
    <w:rsid w:val="001A79B2"/>
    <w:rPr>
      <w:sz w:val="24"/>
      <w:szCs w:val="24"/>
    </w:rPr>
  </w:style>
  <w:style w:type="paragraph" w:styleId="CommentSubject">
    <w:name w:val="annotation subject"/>
    <w:basedOn w:val="CommentText"/>
    <w:next w:val="CommentText"/>
    <w:link w:val="CommentSubjectChar"/>
    <w:uiPriority w:val="99"/>
    <w:semiHidden/>
    <w:unhideWhenUsed/>
    <w:rsid w:val="001A79B2"/>
    <w:rPr>
      <w:b/>
      <w:bCs/>
      <w:sz w:val="20"/>
      <w:szCs w:val="20"/>
    </w:rPr>
  </w:style>
  <w:style w:type="character" w:customStyle="1" w:styleId="CommentSubjectChar">
    <w:name w:val="Comment Subject Char"/>
    <w:basedOn w:val="CommentTextChar"/>
    <w:link w:val="CommentSubject"/>
    <w:uiPriority w:val="99"/>
    <w:semiHidden/>
    <w:rsid w:val="001A79B2"/>
    <w:rPr>
      <w:b/>
      <w:bCs/>
      <w:sz w:val="20"/>
      <w:szCs w:val="20"/>
    </w:rPr>
  </w:style>
  <w:style w:type="paragraph" w:styleId="BalloonText">
    <w:name w:val="Balloon Text"/>
    <w:basedOn w:val="Normal"/>
    <w:link w:val="BalloonTextChar"/>
    <w:uiPriority w:val="99"/>
    <w:semiHidden/>
    <w:unhideWhenUsed/>
    <w:rsid w:val="001A79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B2"/>
    <w:rPr>
      <w:rFonts w:ascii="Lucida Grande" w:hAnsi="Lucida Grande" w:cs="Lucida Grande"/>
      <w:sz w:val="18"/>
      <w:szCs w:val="18"/>
    </w:rPr>
  </w:style>
  <w:style w:type="paragraph" w:styleId="Revision">
    <w:name w:val="Revision"/>
    <w:hidden/>
    <w:uiPriority w:val="99"/>
    <w:semiHidden/>
    <w:rsid w:val="00595E99"/>
    <w:pPr>
      <w:spacing w:after="0" w:line="240" w:lineRule="auto"/>
    </w:pPr>
  </w:style>
  <w:style w:type="paragraph" w:styleId="FootnoteText">
    <w:name w:val="footnote text"/>
    <w:basedOn w:val="Normal"/>
    <w:link w:val="FootnoteTextChar"/>
    <w:uiPriority w:val="99"/>
    <w:unhideWhenUsed/>
    <w:rsid w:val="004D291C"/>
    <w:pPr>
      <w:spacing w:after="0" w:line="240" w:lineRule="auto"/>
    </w:pPr>
    <w:rPr>
      <w:sz w:val="24"/>
      <w:szCs w:val="24"/>
    </w:rPr>
  </w:style>
  <w:style w:type="character" w:customStyle="1" w:styleId="FootnoteTextChar">
    <w:name w:val="Footnote Text Char"/>
    <w:basedOn w:val="DefaultParagraphFont"/>
    <w:link w:val="FootnoteText"/>
    <w:uiPriority w:val="99"/>
    <w:rsid w:val="004D291C"/>
    <w:rPr>
      <w:sz w:val="24"/>
      <w:szCs w:val="24"/>
    </w:rPr>
  </w:style>
  <w:style w:type="character" w:styleId="FootnoteReference">
    <w:name w:val="footnote reference"/>
    <w:basedOn w:val="DefaultParagraphFon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ghtList-Accent5">
    <w:name w:val="Light List Accent 5"/>
    <w:basedOn w:val="TableNormal"/>
    <w:uiPriority w:val="61"/>
    <w:rsid w:val="003C094B"/>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styleId="FollowedHyperlink">
    <w:name w:val="FollowedHyperlink"/>
    <w:basedOn w:val="DefaultParagraphFont"/>
    <w:uiPriority w:val="99"/>
    <w:semiHidden/>
    <w:unhideWhenUsed/>
    <w:rsid w:val="008B52AE"/>
    <w:rPr>
      <w:color w:val="954F72" w:themeColor="followedHyperlink"/>
      <w:u w:val="single"/>
    </w:rPr>
  </w:style>
  <w:style w:type="character" w:customStyle="1" w:styleId="apple-converted-space">
    <w:name w:val="apple-converted-space"/>
    <w:basedOn w:val="DefaultParagraphFont"/>
    <w:rsid w:val="0043631D"/>
  </w:style>
  <w:style w:type="table" w:customStyle="1" w:styleId="TableGrid1">
    <w:name w:val="Table Grid1"/>
    <w:basedOn w:val="TableNormal"/>
    <w:next w:val="TableGrid"/>
    <w:uiPriority w:val="59"/>
    <w:rsid w:val="00A56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13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1135"/>
  </w:style>
  <w:style w:type="paragraph" w:styleId="Footer">
    <w:name w:val="footer"/>
    <w:basedOn w:val="Normal"/>
    <w:link w:val="FooterChar"/>
    <w:uiPriority w:val="99"/>
    <w:unhideWhenUsed/>
    <w:rsid w:val="00BE113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1135"/>
  </w:style>
  <w:style w:type="character" w:styleId="UnresolvedMention">
    <w:name w:val="Unresolved Mention"/>
    <w:basedOn w:val="DefaultParagraphFont"/>
    <w:uiPriority w:val="99"/>
    <w:semiHidden/>
    <w:unhideWhenUsed/>
    <w:rsid w:val="00C62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91829519">
      <w:bodyDiv w:val="1"/>
      <w:marLeft w:val="0"/>
      <w:marRight w:val="0"/>
      <w:marTop w:val="0"/>
      <w:marBottom w:val="0"/>
      <w:divBdr>
        <w:top w:val="none" w:sz="0" w:space="0" w:color="auto"/>
        <w:left w:val="none" w:sz="0" w:space="0" w:color="auto"/>
        <w:bottom w:val="none" w:sz="0" w:space="0" w:color="auto"/>
        <w:right w:val="none" w:sz="0" w:space="0" w:color="auto"/>
      </w:divBdr>
      <w:divsChild>
        <w:div w:id="1021199448">
          <w:marLeft w:val="0"/>
          <w:marRight w:val="0"/>
          <w:marTop w:val="0"/>
          <w:marBottom w:val="0"/>
          <w:divBdr>
            <w:top w:val="none" w:sz="0" w:space="0" w:color="auto"/>
            <w:left w:val="none" w:sz="0" w:space="0" w:color="auto"/>
            <w:bottom w:val="none" w:sz="0" w:space="0" w:color="auto"/>
            <w:right w:val="none" w:sz="0" w:space="0" w:color="auto"/>
          </w:divBdr>
        </w:div>
      </w:divsChild>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331911">
      <w:bodyDiv w:val="1"/>
      <w:marLeft w:val="0"/>
      <w:marRight w:val="0"/>
      <w:marTop w:val="0"/>
      <w:marBottom w:val="0"/>
      <w:divBdr>
        <w:top w:val="none" w:sz="0" w:space="0" w:color="auto"/>
        <w:left w:val="none" w:sz="0" w:space="0" w:color="auto"/>
        <w:bottom w:val="none" w:sz="0" w:space="0" w:color="auto"/>
        <w:right w:val="none" w:sz="0" w:space="0" w:color="auto"/>
      </w:divBdr>
      <w:divsChild>
        <w:div w:id="965047448">
          <w:marLeft w:val="0"/>
          <w:marRight w:val="0"/>
          <w:marTop w:val="0"/>
          <w:marBottom w:val="0"/>
          <w:divBdr>
            <w:top w:val="none" w:sz="0" w:space="0" w:color="auto"/>
            <w:left w:val="none" w:sz="0" w:space="0" w:color="auto"/>
            <w:bottom w:val="none" w:sz="0" w:space="0" w:color="auto"/>
            <w:right w:val="none" w:sz="0" w:space="0" w:color="auto"/>
          </w:divBdr>
        </w:div>
      </w:divsChild>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70122305">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61211125">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opbox.com/sh/dqe06srqjm550bv/AAA4AA_y-bxXkpHsVpwG2n45a?dl=0&amp;lst=&amp;preview=Assessment+-+what%27s+availble.docx" TargetMode="External"/><Relationship Id="rId18" Type="http://schemas.openxmlformats.org/officeDocument/2006/relationships/hyperlink" Target="https://educationcluster.box.com/s/9pc4n3vpy2aq57vkliqnnecp3ckcf111" TargetMode="External"/><Relationship Id="rId26" Type="http://schemas.openxmlformats.org/officeDocument/2006/relationships/hyperlink" Target="https://inee.org/system/files/resources/INEE_GN_Gender_2019.pdf" TargetMode="External"/><Relationship Id="rId3" Type="http://schemas.openxmlformats.org/officeDocument/2006/relationships/styles" Target="styles.xml"/><Relationship Id="rId21" Type="http://schemas.openxmlformats.org/officeDocument/2006/relationships/hyperlink" Target="https://www.cpaor.net/node/669" TargetMode="External"/><Relationship Id="rId7" Type="http://schemas.openxmlformats.org/officeDocument/2006/relationships/endnotes" Target="endnotes.xml"/><Relationship Id="rId12" Type="http://schemas.openxmlformats.org/officeDocument/2006/relationships/hyperlink" Target="https://www.dropbox.com/sh/dqe06srqjm550bv/AAA4AA_y-bxXkpHsVpwG2n45a?dl=0&amp;lst=" TargetMode="External"/><Relationship Id="rId17" Type="http://schemas.openxmlformats.org/officeDocument/2006/relationships/hyperlink" Target="https://educationcluster.box.com/s/9pc4n3vpy2aq57vkliqnnecp3ckcf111" TargetMode="External"/><Relationship Id="rId25" Type="http://schemas.openxmlformats.org/officeDocument/2006/relationships/hyperlink" Target="https://educationcluster.app.box.com/v/needsassessmentpackage" TargetMode="External"/><Relationship Id="rId2" Type="http://schemas.openxmlformats.org/officeDocument/2006/relationships/numbering" Target="numbering.xml"/><Relationship Id="rId16" Type="http://schemas.openxmlformats.org/officeDocument/2006/relationships/hyperlink" Target="https://educationcluster.box.com/s/9pc4n3vpy2aq57vkliqnnecp3ckcf111" TargetMode="External"/><Relationship Id="rId20" Type="http://schemas.openxmlformats.org/officeDocument/2006/relationships/hyperlink" Target="https://educationcluster.box.com/s/yt4mszrw96ateqei5ls59fwqrukbls4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cluster.box.com/s/0unpymq59zrdeak8150ee4ew1teciyb7" TargetMode="External"/><Relationship Id="rId24" Type="http://schemas.openxmlformats.org/officeDocument/2006/relationships/hyperlink" Target="https://educationcluster.box.com/s/9pc4n3vpy2aq57vkliqnnecp3ckcf111" TargetMode="External"/><Relationship Id="rId5" Type="http://schemas.openxmlformats.org/officeDocument/2006/relationships/webSettings" Target="webSettings.xml"/><Relationship Id="rId15" Type="http://schemas.openxmlformats.org/officeDocument/2006/relationships/hyperlink" Target="https://www.impact-repository.org/document/reach/da702113/reach_afg_report_education_and_child_protection_joint_needs_assessment_november2017_0.pdf" TargetMode="External"/><Relationship Id="rId23" Type="http://schemas.openxmlformats.org/officeDocument/2006/relationships/hyperlink" Target="https://educationcluster.box.com/s/3f697mx60qjrliuzahhzkf7afnzwo238" TargetMode="External"/><Relationship Id="rId28" Type="http://schemas.openxmlformats.org/officeDocument/2006/relationships/fontTable" Target="fontTable.xml"/><Relationship Id="rId10" Type="http://schemas.openxmlformats.org/officeDocument/2006/relationships/hyperlink" Target="mailto:mackenzie.monserez@savethechildren.org" TargetMode="External"/><Relationship Id="rId19" Type="http://schemas.openxmlformats.org/officeDocument/2006/relationships/hyperlink" Target="https://educationcluster.box.com/s/fqkj3dgzb33aphipri1hb31jng6jsmr2" TargetMode="External"/><Relationship Id="rId4" Type="http://schemas.openxmlformats.org/officeDocument/2006/relationships/settings" Target="settings.xml"/><Relationship Id="rId9" Type="http://schemas.openxmlformats.org/officeDocument/2006/relationships/hyperlink" Target="https://educationcluster.box.com/s/9mqsahd102pzwwiq7cpobxxo0jc4cmkg" TargetMode="External"/><Relationship Id="rId14" Type="http://schemas.openxmlformats.org/officeDocument/2006/relationships/hyperlink" Target="https://www.dropbox.com/sh/dqe06srqjm550bv/AAAVW9MlI9LD5nKHPl6Gp5hMa/Interpretation%20workshop?dl=0&amp;lst=&amp;subfolder_nav_tracking=1" TargetMode="External"/><Relationship Id="rId22" Type="http://schemas.openxmlformats.org/officeDocument/2006/relationships/hyperlink" Target="https://educationcluster.box.com/v/sdr"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n5m5g3gjt7r1xo0qpk9utr70wu81cofl"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B8931-C230-7445-B980-D55DE0306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 AoR</dc:creator>
  <cp:keywords/>
  <dc:description/>
  <cp:lastModifiedBy>Monserez, Mackenzie</cp:lastModifiedBy>
  <cp:revision>14</cp:revision>
  <cp:lastPrinted>2020-06-19T13:55:00Z</cp:lastPrinted>
  <dcterms:created xsi:type="dcterms:W3CDTF">2020-08-19T07:30:00Z</dcterms:created>
  <dcterms:modified xsi:type="dcterms:W3CDTF">2020-08-19T12:10:00Z</dcterms:modified>
</cp:coreProperties>
</file>