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303757" w:rsidRDefault="004D42B9" w:rsidP="00414418">
      <w:pPr>
        <w:rPr>
          <w:lang w:val="tr-TR"/>
        </w:rPr>
      </w:pPr>
      <w:r w:rsidRPr="00303757">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03EBE98" w14:textId="305CD974" w:rsidR="00903A62" w:rsidRPr="00303757" w:rsidRDefault="00B86929" w:rsidP="00414418">
      <w:pPr>
        <w:pStyle w:val="Heading9"/>
        <w:rPr>
          <w:lang w:val="tr-TR"/>
        </w:rPr>
      </w:pPr>
      <w:bookmarkStart w:id="0" w:name="_Toc522623217"/>
      <w:r w:rsidRPr="00303757">
        <w:rPr>
          <w:lang w:val="tr-TR"/>
        </w:rPr>
        <w:t xml:space="preserve">CPHA-CPMS </w:t>
      </w:r>
      <w:proofErr w:type="spellStart"/>
      <w:r w:rsidRPr="00303757">
        <w:rPr>
          <w:lang w:val="tr-TR"/>
        </w:rPr>
        <w:t>learning</w:t>
      </w:r>
      <w:proofErr w:type="spellEnd"/>
      <w:r w:rsidRPr="00303757">
        <w:rPr>
          <w:lang w:val="tr-TR"/>
        </w:rPr>
        <w:t xml:space="preserve"> </w:t>
      </w:r>
      <w:proofErr w:type="spellStart"/>
      <w:r w:rsidR="008B051C" w:rsidRPr="00303757">
        <w:rPr>
          <w:lang w:val="tr-TR"/>
        </w:rPr>
        <w:t>package</w:t>
      </w:r>
      <w:proofErr w:type="spellEnd"/>
    </w:p>
    <w:p w14:paraId="795782A3" w14:textId="4B8C85C3" w:rsidR="00EA546B" w:rsidRPr="00303757" w:rsidRDefault="00514C65" w:rsidP="00414418">
      <w:pPr>
        <w:pStyle w:val="Heading9"/>
        <w:rPr>
          <w:lang w:val="tr-TR"/>
        </w:rPr>
      </w:pPr>
      <w:r w:rsidRPr="00303757">
        <w:rPr>
          <w:lang w:val="tr-TR"/>
        </w:rPr>
        <w:t xml:space="preserve">HR </w:t>
      </w:r>
      <w:proofErr w:type="spellStart"/>
      <w:r w:rsidRPr="00303757">
        <w:rPr>
          <w:lang w:val="tr-TR"/>
        </w:rPr>
        <w:t>for</w:t>
      </w:r>
      <w:proofErr w:type="spellEnd"/>
      <w:r w:rsidRPr="00303757">
        <w:rPr>
          <w:lang w:val="tr-TR"/>
        </w:rPr>
        <w:t xml:space="preserve"> a </w:t>
      </w:r>
      <w:proofErr w:type="spellStart"/>
      <w:r w:rsidRPr="00303757">
        <w:rPr>
          <w:lang w:val="tr-TR"/>
        </w:rPr>
        <w:t>quality</w:t>
      </w:r>
      <w:proofErr w:type="spellEnd"/>
      <w:r w:rsidRPr="00303757">
        <w:rPr>
          <w:lang w:val="tr-TR"/>
        </w:rPr>
        <w:t xml:space="preserve"> </w:t>
      </w:r>
      <w:proofErr w:type="spellStart"/>
      <w:r w:rsidRPr="00303757">
        <w:rPr>
          <w:lang w:val="tr-TR"/>
        </w:rPr>
        <w:t>response</w:t>
      </w:r>
      <w:proofErr w:type="spellEnd"/>
    </w:p>
    <w:p w14:paraId="6704040C" w14:textId="77777777" w:rsidR="00903A62" w:rsidRPr="00303757" w:rsidRDefault="00903A62" w:rsidP="00414418">
      <w:pPr>
        <w:rPr>
          <w:lang w:val="tr-TR"/>
        </w:rPr>
      </w:pPr>
    </w:p>
    <w:p w14:paraId="358DD791" w14:textId="77777777" w:rsidR="002A26BD" w:rsidRPr="00303757" w:rsidRDefault="002A26BD" w:rsidP="00414418">
      <w:pPr>
        <w:rPr>
          <w:lang w:val="tr-TR"/>
        </w:rPr>
      </w:pPr>
    </w:p>
    <w:bookmarkEnd w:id="0"/>
    <w:p w14:paraId="3A7F9C10" w14:textId="77777777" w:rsidR="00287000" w:rsidRPr="00303757" w:rsidRDefault="00287000" w:rsidP="00287000">
      <w:pPr>
        <w:pStyle w:val="1Heading1"/>
        <w:rPr>
          <w:lang w:val="tr-TR"/>
        </w:rPr>
      </w:pPr>
      <w:r w:rsidRPr="00303757">
        <w:rPr>
          <w:lang w:val="tr-TR"/>
        </w:rPr>
        <w:t>Hedefler</w:t>
      </w:r>
    </w:p>
    <w:p w14:paraId="4C92DF83" w14:textId="77777777" w:rsidR="00287000" w:rsidRPr="00303757" w:rsidRDefault="00287000" w:rsidP="00287000">
      <w:pPr>
        <w:pStyle w:val="TableSmallBlueHeading"/>
        <w:rPr>
          <w:lang w:val="tr-TR"/>
        </w:rPr>
      </w:pPr>
      <w:r w:rsidRPr="00303757">
        <w:rPr>
          <w:lang w:val="tr-TR"/>
        </w:rPr>
        <w:t>Bu kursun sonunda aşağıdakileri yapabilecek yetkinliğe sahip olacaksınız:</w:t>
      </w:r>
    </w:p>
    <w:p w14:paraId="39958C4B" w14:textId="77777777" w:rsidR="00287000" w:rsidRPr="00303757" w:rsidRDefault="00287000" w:rsidP="00287000">
      <w:pPr>
        <w:pStyle w:val="NormalTextBulletsLevel1"/>
        <w:ind w:left="641" w:hanging="357"/>
        <w:rPr>
          <w:highlight w:val="white"/>
          <w:lang w:val="tr-TR"/>
        </w:rPr>
      </w:pPr>
      <w:proofErr w:type="spellStart"/>
      <w:r w:rsidRPr="00303757">
        <w:rPr>
          <w:highlight w:val="white"/>
          <w:lang w:val="tr-TR"/>
        </w:rPr>
        <w:t>CPHA'da</w:t>
      </w:r>
      <w:proofErr w:type="spellEnd"/>
      <w:r w:rsidRPr="00303757">
        <w:rPr>
          <w:highlight w:val="white"/>
          <w:lang w:val="tr-TR"/>
        </w:rPr>
        <w:t xml:space="preserve"> insan kaynakları yönetiminin önemini tanımlamak</w:t>
      </w:r>
    </w:p>
    <w:p w14:paraId="3933DBB5" w14:textId="77777777" w:rsidR="00287000" w:rsidRPr="00303757" w:rsidRDefault="00287000" w:rsidP="00287000">
      <w:pPr>
        <w:pStyle w:val="NormalTextBulletsLevel1"/>
        <w:ind w:left="641" w:hanging="357"/>
        <w:rPr>
          <w:highlight w:val="white"/>
          <w:lang w:val="tr-TR"/>
        </w:rPr>
      </w:pPr>
      <w:r w:rsidRPr="00303757">
        <w:rPr>
          <w:highlight w:val="white"/>
          <w:lang w:val="tr-TR"/>
        </w:rPr>
        <w:t xml:space="preserve">CPHA yetkinlik çerçevesinin yapısını hatırlamak </w:t>
      </w:r>
    </w:p>
    <w:p w14:paraId="683A6BC4" w14:textId="77777777" w:rsidR="00287000" w:rsidRPr="00303757" w:rsidRDefault="00287000" w:rsidP="00287000">
      <w:pPr>
        <w:pStyle w:val="1Heading1"/>
        <w:rPr>
          <w:lang w:val="tr-TR"/>
        </w:rPr>
      </w:pPr>
      <w:r w:rsidRPr="00303757">
        <w:rPr>
          <w:lang w:val="tr-TR"/>
        </w:rPr>
        <w:t>Temel Öğrenme Noktaları</w:t>
      </w:r>
    </w:p>
    <w:p w14:paraId="24452289" w14:textId="1A34FB26" w:rsidR="00287000" w:rsidRPr="00303757" w:rsidRDefault="00287000" w:rsidP="00287000">
      <w:pPr>
        <w:rPr>
          <w:lang w:val="tr-TR"/>
        </w:rPr>
      </w:pPr>
      <w:r w:rsidRPr="00303757">
        <w:rPr>
          <w:lang w:val="tr-TR"/>
        </w:rPr>
        <w:t>Aşağıda listelenen temel öğrenme noktalarına ilişkin içeriği daha detaylı olarak keşfetmek için lütfen oturumun sonundaki "Ek Kaynaklar" bölümünü referans alın.</w:t>
      </w:r>
      <w:r w:rsidRPr="00303757">
        <w:rPr>
          <w:lang w:val="tr-TR"/>
        </w:rPr>
        <w:t xml:space="preserve"> </w:t>
      </w:r>
    </w:p>
    <w:p w14:paraId="0B4A9D91" w14:textId="77777777" w:rsidR="00287000" w:rsidRPr="00303757" w:rsidRDefault="00287000" w:rsidP="00287000">
      <w:pPr>
        <w:pStyle w:val="NormalTextBulletsLevel1"/>
        <w:ind w:hanging="357"/>
        <w:contextualSpacing w:val="0"/>
        <w:rPr>
          <w:highlight w:val="white"/>
          <w:lang w:val="tr-TR"/>
        </w:rPr>
      </w:pPr>
      <w:r w:rsidRPr="00303757">
        <w:rPr>
          <w:highlight w:val="white"/>
          <w:lang w:val="tr-TR"/>
        </w:rPr>
        <w:t xml:space="preserve">İnsan kaynakları yönetimi </w:t>
      </w:r>
      <w:proofErr w:type="spellStart"/>
      <w:r w:rsidRPr="00303757">
        <w:rPr>
          <w:highlight w:val="white"/>
          <w:lang w:val="tr-TR"/>
        </w:rPr>
        <w:t>CPHA'nın</w:t>
      </w:r>
      <w:proofErr w:type="spellEnd"/>
      <w:r w:rsidRPr="00303757">
        <w:rPr>
          <w:highlight w:val="white"/>
          <w:lang w:val="tr-TR"/>
        </w:rPr>
        <w:t xml:space="preserve"> önemli bir unsurudur, çünkü bu sayede insani yardım kuruluşları (a) insani yardım faaliyetlerinde çocuk koruma hizmetleri sağlayan tüm kişilerin işlerini yapmak için gereken beceri ve uzmanlığı geliştirmelerini ve (b) politika ve prosedürlere uyum yoluyla tüm çocukların korunmasını sağlayabilir. </w:t>
      </w:r>
    </w:p>
    <w:p w14:paraId="488B7534" w14:textId="77777777" w:rsidR="00287000" w:rsidRPr="00303757" w:rsidRDefault="00287000" w:rsidP="00287000">
      <w:pPr>
        <w:pStyle w:val="NormalTextBulletsLevel1"/>
        <w:ind w:hanging="357"/>
        <w:contextualSpacing w:val="0"/>
        <w:rPr>
          <w:highlight w:val="white"/>
          <w:lang w:val="tr-TR"/>
        </w:rPr>
      </w:pPr>
      <w:r w:rsidRPr="00303757">
        <w:rPr>
          <w:highlight w:val="white"/>
          <w:lang w:val="tr-TR"/>
        </w:rPr>
        <w:lastRenderedPageBreak/>
        <w:t>CPHA yetkinlik çerçevesi işe alım, performans yönetimi, öğrenme ve gelişim de dahil olmak üzere İK süreçlerini destekleyebilir. Yetkinlik çerçevesi temel değerleri, insani yetkinlikleri ve teknik yetkinlikleri kapsamaktadır. CPHA Yetkinlik Çerçevesinde de vurgulandığı üzere, etkin CPHA uygulayıcılarının üç ana alanda yetkinlik göstermeleri beklenmektedir:</w:t>
      </w:r>
    </w:p>
    <w:p w14:paraId="291C2834" w14:textId="77777777" w:rsidR="00287000" w:rsidRPr="00303757" w:rsidRDefault="00287000" w:rsidP="005E7F05">
      <w:pPr>
        <w:pStyle w:val="NormalTextBulletsLevel2"/>
        <w:ind w:left="1843" w:hanging="357"/>
        <w:contextualSpacing w:val="0"/>
        <w:rPr>
          <w:highlight w:val="white"/>
          <w:lang w:val="tr-TR"/>
        </w:rPr>
      </w:pPr>
      <w:r w:rsidRPr="00303757">
        <w:rPr>
          <w:highlight w:val="white"/>
          <w:lang w:val="tr-TR"/>
        </w:rPr>
        <w:t>CPHA rehber ilkeleri ile ilgili yetkinlik</w:t>
      </w:r>
    </w:p>
    <w:p w14:paraId="383F2457" w14:textId="77777777" w:rsidR="00287000" w:rsidRPr="00303757" w:rsidRDefault="00287000" w:rsidP="005E7F05">
      <w:pPr>
        <w:pStyle w:val="NormalTextBulletsLevel2"/>
        <w:ind w:left="1843" w:hanging="357"/>
        <w:contextualSpacing w:val="0"/>
        <w:rPr>
          <w:highlight w:val="white"/>
          <w:lang w:val="tr-TR"/>
        </w:rPr>
      </w:pPr>
      <w:r w:rsidRPr="00303757">
        <w:rPr>
          <w:highlight w:val="white"/>
          <w:lang w:val="tr-TR"/>
        </w:rPr>
        <w:t>Teknik CPHA yetkinliği</w:t>
      </w:r>
    </w:p>
    <w:p w14:paraId="6961E216" w14:textId="77777777" w:rsidR="00287000" w:rsidRPr="00303757" w:rsidRDefault="00287000" w:rsidP="005E7F05">
      <w:pPr>
        <w:pStyle w:val="NormalTextBulletsLevel2"/>
        <w:ind w:left="1843" w:hanging="357"/>
        <w:contextualSpacing w:val="0"/>
        <w:rPr>
          <w:highlight w:val="white"/>
          <w:lang w:val="tr-TR"/>
        </w:rPr>
      </w:pPr>
      <w:r w:rsidRPr="00303757">
        <w:rPr>
          <w:highlight w:val="white"/>
          <w:lang w:val="tr-TR"/>
        </w:rPr>
        <w:t>Temel İnsani Yardım Yetkinliği</w:t>
      </w:r>
    </w:p>
    <w:p w14:paraId="6B2B66F1" w14:textId="77777777" w:rsidR="00287000" w:rsidRPr="00303757" w:rsidRDefault="00287000" w:rsidP="00287000">
      <w:pPr>
        <w:pStyle w:val="NormalTextBulletsLevel1"/>
        <w:ind w:hanging="357"/>
        <w:contextualSpacing w:val="0"/>
        <w:rPr>
          <w:highlight w:val="white"/>
          <w:lang w:val="tr-TR"/>
        </w:rPr>
      </w:pPr>
      <w:r w:rsidRPr="00303757">
        <w:rPr>
          <w:highlight w:val="white"/>
          <w:lang w:val="tr-TR"/>
        </w:rPr>
        <w:t xml:space="preserve">Kaliteli bir müdahale için </w:t>
      </w:r>
      <w:proofErr w:type="spellStart"/>
      <w:r w:rsidRPr="00303757">
        <w:rPr>
          <w:highlight w:val="white"/>
          <w:lang w:val="tr-TR"/>
        </w:rPr>
        <w:t>İK'ya</w:t>
      </w:r>
      <w:proofErr w:type="spellEnd"/>
      <w:r w:rsidRPr="00303757">
        <w:rPr>
          <w:highlight w:val="white"/>
          <w:lang w:val="tr-TR"/>
        </w:rPr>
        <w:t xml:space="preserve"> yönelik kilit eylemler hazırlıklı olma eylemleri ve müdahale eylemleri olarak ikiye ayrılır. </w:t>
      </w:r>
    </w:p>
    <w:p w14:paraId="7B191C8A" w14:textId="77777777" w:rsidR="00287000" w:rsidRPr="00303757" w:rsidRDefault="00287000" w:rsidP="005E7F05">
      <w:pPr>
        <w:pStyle w:val="NormalTextBulletsLevel2"/>
        <w:ind w:left="1843" w:hanging="357"/>
        <w:contextualSpacing w:val="0"/>
        <w:rPr>
          <w:highlight w:val="white"/>
          <w:lang w:val="tr-TR"/>
        </w:rPr>
      </w:pPr>
      <w:r w:rsidRPr="00303757">
        <w:rPr>
          <w:highlight w:val="white"/>
          <w:lang w:val="tr-TR"/>
        </w:rPr>
        <w:t xml:space="preserve">Hazırlıklı olma kapsamında şunlarla ilgili eylemler yer almaktadır: koruma politikalarının, geri bildirim ve raporlama mekanizmalarının geliştirilmesi; hızlı dağıtım mekanizmaları ve personelin ve ortakların kurumsal çalışma yöntemleri, koruma politikaları ve prosedürleri ve bulaşıcı hastalık salgınlarında çalışma konularında eğitilmesi. </w:t>
      </w:r>
    </w:p>
    <w:p w14:paraId="0D68D70B" w14:textId="77777777" w:rsidR="00287000" w:rsidRPr="00303757" w:rsidRDefault="00287000" w:rsidP="005E7F05">
      <w:pPr>
        <w:pStyle w:val="NormalTextBulletsLevel2"/>
        <w:ind w:left="1843" w:hanging="357"/>
        <w:contextualSpacing w:val="0"/>
        <w:rPr>
          <w:highlight w:val="white"/>
          <w:lang w:val="tr-TR"/>
        </w:rPr>
      </w:pPr>
      <w:r w:rsidRPr="00303757">
        <w:rPr>
          <w:highlight w:val="white"/>
          <w:lang w:val="tr-TR"/>
        </w:rPr>
        <w:t xml:space="preserve">Müdahale kapsamında eylemler şu İK faaliyet alanlarına göre organize edilmiştir: planlama, işe alma ve işe başlatma, çeşitlilik ve kapsayıcılık, öğrenme ve gelişim, personel geri bildirimi, refah. Eylemler gerekli rollerin ve yetkinliklerin belirlenmesini kapsar; kapsayıcı ve erişilebilir olan ve kilit topluluk üyelerinin katılımını sağlayan uygun değerlendirme ve seçim yöntemlerinin tasarlanması; personel ve ortakların </w:t>
      </w:r>
      <w:proofErr w:type="spellStart"/>
      <w:r w:rsidRPr="00303757">
        <w:rPr>
          <w:highlight w:val="white"/>
          <w:lang w:val="tr-TR"/>
        </w:rPr>
        <w:t>CP'ye</w:t>
      </w:r>
      <w:proofErr w:type="spellEnd"/>
      <w:r w:rsidRPr="00303757">
        <w:rPr>
          <w:highlight w:val="white"/>
          <w:lang w:val="tr-TR"/>
        </w:rPr>
        <w:t xml:space="preserve">, kuruluşa ve kendi rol ve sorumluluklarına alıştırılması ve eğitilmesi; personel ve ortakların kapasitelerinin değerlendirilmesi ve güçlendirilmesi; yeterli dinlenme, iyileşme, destek ve gözetim sağlanması. </w:t>
      </w:r>
    </w:p>
    <w:p w14:paraId="0A0E6CAF" w14:textId="77777777" w:rsidR="00287000" w:rsidRPr="00303757" w:rsidRDefault="00287000" w:rsidP="00287000">
      <w:pPr>
        <w:widowControl w:val="0"/>
        <w:pBdr>
          <w:top w:val="nil"/>
          <w:left w:val="nil"/>
          <w:bottom w:val="nil"/>
          <w:right w:val="nil"/>
          <w:between w:val="nil"/>
        </w:pBdr>
        <w:rPr>
          <w:rFonts w:ascii="Arial" w:hAnsi="Arial" w:cs="Arial"/>
          <w:sz w:val="20"/>
          <w:szCs w:val="20"/>
          <w:highlight w:val="white"/>
          <w:lang w:val="tr-TR"/>
        </w:rPr>
      </w:pPr>
    </w:p>
    <w:p w14:paraId="666C2514" w14:textId="77777777" w:rsidR="00287000" w:rsidRPr="00303757" w:rsidRDefault="00287000" w:rsidP="00287000">
      <w:pPr>
        <w:pBdr>
          <w:top w:val="nil"/>
          <w:left w:val="nil"/>
          <w:bottom w:val="nil"/>
          <w:right w:val="nil"/>
          <w:between w:val="nil"/>
        </w:pBdr>
        <w:rPr>
          <w:rFonts w:ascii="Arial" w:hAnsi="Arial" w:cs="Arial"/>
          <w:sz w:val="20"/>
          <w:szCs w:val="20"/>
          <w:lang w:val="tr-TR"/>
        </w:rPr>
      </w:pPr>
    </w:p>
    <w:p w14:paraId="5DD7503F" w14:textId="77777777" w:rsidR="00287000" w:rsidRPr="00303757" w:rsidRDefault="00287000" w:rsidP="00287000">
      <w:pPr>
        <w:pBdr>
          <w:top w:val="nil"/>
          <w:left w:val="nil"/>
          <w:bottom w:val="nil"/>
          <w:right w:val="nil"/>
          <w:between w:val="nil"/>
        </w:pBdr>
        <w:ind w:left="720"/>
        <w:rPr>
          <w:rFonts w:ascii="Arial" w:hAnsi="Arial" w:cs="Arial"/>
          <w:sz w:val="20"/>
          <w:szCs w:val="20"/>
          <w:lang w:val="tr-TR"/>
        </w:rPr>
      </w:pPr>
    </w:p>
    <w:p w14:paraId="282E74E1" w14:textId="77777777" w:rsidR="00287000" w:rsidRPr="00303757" w:rsidRDefault="00287000" w:rsidP="00287000">
      <w:pPr>
        <w:pStyle w:val="1Heading1"/>
        <w:rPr>
          <w:lang w:val="tr-TR"/>
        </w:rPr>
      </w:pPr>
      <w:r w:rsidRPr="00303757">
        <w:rPr>
          <w:lang w:val="tr-TR"/>
        </w:rPr>
        <w:lastRenderedPageBreak/>
        <w:t>Oturum taslağı</w:t>
      </w:r>
    </w:p>
    <w:p w14:paraId="1946961C" w14:textId="1D2466D8" w:rsidR="00287000" w:rsidRPr="00303757" w:rsidRDefault="00287000" w:rsidP="00685053">
      <w:pPr>
        <w:pStyle w:val="Mormal03CMIndent"/>
        <w:ind w:left="0"/>
        <w:rPr>
          <w:lang w:val="tr-TR"/>
        </w:rPr>
      </w:pPr>
      <w:r w:rsidRPr="00303757">
        <w:rPr>
          <w:lang w:val="tr-TR"/>
        </w:rPr>
        <w:t>*</w:t>
      </w:r>
      <w:r w:rsidR="00685053" w:rsidRPr="00303757">
        <w:rPr>
          <w:lang w:val="tr-TR"/>
        </w:rPr>
        <w:t xml:space="preserve"> </w:t>
      </w:r>
      <w:r w:rsidRPr="00303757">
        <w:rPr>
          <w:lang w:val="tr-TR"/>
        </w:rPr>
        <w:t xml:space="preserve">Molalardan yararlanın ve gerektiğinde enerji vericileri dahil edin </w:t>
      </w:r>
    </w:p>
    <w:tbl>
      <w:tblPr>
        <w:tblW w:w="14034"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6378"/>
        <w:gridCol w:w="2410"/>
      </w:tblGrid>
      <w:tr w:rsidR="00F76201" w:rsidRPr="00303757" w14:paraId="7CBBE7CB" w14:textId="77777777" w:rsidTr="00F76201">
        <w:trPr>
          <w:trHeight w:val="452"/>
        </w:trPr>
        <w:tc>
          <w:tcPr>
            <w:tcW w:w="5246" w:type="dxa"/>
            <w:shd w:val="clear" w:color="auto" w:fill="415E78"/>
            <w:tcMar>
              <w:top w:w="0" w:type="dxa"/>
              <w:left w:w="0" w:type="dxa"/>
              <w:bottom w:w="0" w:type="dxa"/>
              <w:right w:w="0" w:type="dxa"/>
            </w:tcMar>
            <w:vAlign w:val="center"/>
          </w:tcPr>
          <w:p w14:paraId="137BD724" w14:textId="0C8B2A33" w:rsidR="00F76201" w:rsidRPr="00303757" w:rsidRDefault="00F76201" w:rsidP="00F76201">
            <w:pPr>
              <w:pStyle w:val="TableWhiteHeadings"/>
              <w:rPr>
                <w:lang w:val="tr-TR"/>
              </w:rPr>
            </w:pPr>
            <w:r w:rsidRPr="00303757">
              <w:rPr>
                <w:lang w:val="tr-TR"/>
              </w:rPr>
              <w:t>Konu</w:t>
            </w:r>
          </w:p>
        </w:tc>
        <w:tc>
          <w:tcPr>
            <w:tcW w:w="6378" w:type="dxa"/>
            <w:shd w:val="clear" w:color="auto" w:fill="415E78"/>
            <w:tcMar>
              <w:top w:w="0" w:type="dxa"/>
              <w:left w:w="0" w:type="dxa"/>
              <w:bottom w:w="0" w:type="dxa"/>
              <w:right w:w="0" w:type="dxa"/>
            </w:tcMar>
            <w:vAlign w:val="center"/>
          </w:tcPr>
          <w:p w14:paraId="10F940F8" w14:textId="62797909" w:rsidR="00F76201" w:rsidRPr="00303757" w:rsidRDefault="00F76201" w:rsidP="00F76201">
            <w:pPr>
              <w:pStyle w:val="TableWhiteHeadings"/>
              <w:rPr>
                <w:lang w:val="tr-TR"/>
              </w:rPr>
            </w:pPr>
            <w:r w:rsidRPr="00303757">
              <w:rPr>
                <w:lang w:val="tr-TR"/>
              </w:rPr>
              <w:t>Metodoloji</w:t>
            </w:r>
          </w:p>
        </w:tc>
        <w:tc>
          <w:tcPr>
            <w:tcW w:w="2410" w:type="dxa"/>
            <w:shd w:val="clear" w:color="auto" w:fill="415E78"/>
            <w:tcMar>
              <w:top w:w="0" w:type="dxa"/>
              <w:left w:w="0" w:type="dxa"/>
              <w:bottom w:w="0" w:type="dxa"/>
              <w:right w:w="0" w:type="dxa"/>
            </w:tcMar>
            <w:vAlign w:val="center"/>
          </w:tcPr>
          <w:p w14:paraId="453E291C" w14:textId="5415AE19" w:rsidR="00F76201" w:rsidRPr="00303757" w:rsidRDefault="00F76201" w:rsidP="00F76201">
            <w:pPr>
              <w:pStyle w:val="TableWhiteHeadings"/>
              <w:jc w:val="center"/>
              <w:rPr>
                <w:lang w:val="tr-TR"/>
              </w:rPr>
            </w:pPr>
            <w:r w:rsidRPr="00303757">
              <w:rPr>
                <w:lang w:val="tr-TR"/>
              </w:rPr>
              <w:t>Süre</w:t>
            </w:r>
          </w:p>
        </w:tc>
      </w:tr>
      <w:tr w:rsidR="00F76201" w:rsidRPr="00303757" w14:paraId="3C9B36A7" w14:textId="77777777" w:rsidTr="00F76201">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40E0F2C9" w:rsidR="00F76201" w:rsidRPr="00303757" w:rsidRDefault="00F76201" w:rsidP="00F76201">
            <w:pPr>
              <w:pStyle w:val="NormalFontForTable"/>
              <w:rPr>
                <w:lang w:val="tr-TR"/>
              </w:rPr>
            </w:pPr>
            <w:r w:rsidRPr="00303757">
              <w:rPr>
                <w:lang w:val="tr-TR"/>
              </w:rPr>
              <w:t>Oturum tanıtımı</w:t>
            </w:r>
          </w:p>
        </w:tc>
        <w:tc>
          <w:tcPr>
            <w:tcW w:w="6378" w:type="dxa"/>
            <w:shd w:val="clear" w:color="auto" w:fill="F2F2F2" w:themeFill="background1" w:themeFillShade="F2"/>
            <w:tcMar>
              <w:top w:w="0" w:type="dxa"/>
              <w:left w:w="0" w:type="dxa"/>
              <w:bottom w:w="0" w:type="dxa"/>
              <w:right w:w="0" w:type="dxa"/>
            </w:tcMar>
            <w:vAlign w:val="center"/>
          </w:tcPr>
          <w:p w14:paraId="6ABC1EC0" w14:textId="691EC368" w:rsidR="00F76201" w:rsidRPr="00303757" w:rsidRDefault="00F76201" w:rsidP="00F76201">
            <w:pPr>
              <w:pStyle w:val="NormalFontForTable"/>
              <w:rPr>
                <w:lang w:val="tr-TR"/>
              </w:rPr>
            </w:pPr>
            <w:r w:rsidRPr="00303757">
              <w:rPr>
                <w:lang w:val="tr-TR"/>
              </w:rPr>
              <w:t>Eğitmen girdisi</w:t>
            </w:r>
          </w:p>
        </w:tc>
        <w:tc>
          <w:tcPr>
            <w:tcW w:w="2410" w:type="dxa"/>
            <w:shd w:val="clear" w:color="auto" w:fill="F2F2F2" w:themeFill="background1" w:themeFillShade="F2"/>
            <w:tcMar>
              <w:top w:w="0" w:type="dxa"/>
              <w:left w:w="0" w:type="dxa"/>
              <w:bottom w:w="0" w:type="dxa"/>
              <w:right w:w="0" w:type="dxa"/>
            </w:tcMar>
            <w:vAlign w:val="center"/>
          </w:tcPr>
          <w:p w14:paraId="4DF49F97" w14:textId="6B727804" w:rsidR="00F76201" w:rsidRPr="00303757" w:rsidRDefault="00F76201" w:rsidP="00F76201">
            <w:pPr>
              <w:pStyle w:val="NormalFontForTable"/>
              <w:jc w:val="center"/>
              <w:rPr>
                <w:lang w:val="tr-TR"/>
              </w:rPr>
            </w:pPr>
            <w:r w:rsidRPr="00303757">
              <w:rPr>
                <w:lang w:val="tr-TR"/>
              </w:rPr>
              <w:t>2 dk</w:t>
            </w:r>
          </w:p>
        </w:tc>
      </w:tr>
      <w:tr w:rsidR="00F76201" w:rsidRPr="00303757" w14:paraId="61153655" w14:textId="77777777" w:rsidTr="00F76201">
        <w:trPr>
          <w:trHeight w:val="452"/>
        </w:trPr>
        <w:tc>
          <w:tcPr>
            <w:tcW w:w="5246" w:type="dxa"/>
            <w:shd w:val="clear" w:color="auto" w:fill="FFFFFF"/>
            <w:tcMar>
              <w:top w:w="0" w:type="dxa"/>
              <w:left w:w="0" w:type="dxa"/>
              <w:bottom w:w="0" w:type="dxa"/>
              <w:right w:w="0" w:type="dxa"/>
            </w:tcMar>
            <w:vAlign w:val="center"/>
          </w:tcPr>
          <w:p w14:paraId="298C737F" w14:textId="56C13FC4" w:rsidR="00F76201" w:rsidRPr="00303757" w:rsidRDefault="00F76201" w:rsidP="00F76201">
            <w:pPr>
              <w:pStyle w:val="NormalFontForTable"/>
              <w:rPr>
                <w:lang w:val="tr-TR"/>
              </w:rPr>
            </w:pPr>
            <w:r w:rsidRPr="00303757">
              <w:rPr>
                <w:highlight w:val="white"/>
                <w:lang w:val="tr-TR"/>
              </w:rPr>
              <w:t>İK yönetiminin önemi</w:t>
            </w:r>
          </w:p>
        </w:tc>
        <w:tc>
          <w:tcPr>
            <w:tcW w:w="6378" w:type="dxa"/>
            <w:shd w:val="clear" w:color="auto" w:fill="FFFFFF"/>
            <w:tcMar>
              <w:top w:w="0" w:type="dxa"/>
              <w:left w:w="0" w:type="dxa"/>
              <w:bottom w:w="0" w:type="dxa"/>
              <w:right w:w="0" w:type="dxa"/>
            </w:tcMar>
            <w:vAlign w:val="center"/>
          </w:tcPr>
          <w:p w14:paraId="0C3785EA" w14:textId="0A20EC43" w:rsidR="00F76201" w:rsidRPr="00303757" w:rsidRDefault="00F76201" w:rsidP="00F76201">
            <w:pPr>
              <w:pStyle w:val="NormalFontForTable"/>
              <w:rPr>
                <w:lang w:val="tr-TR"/>
              </w:rPr>
            </w:pPr>
            <w:r w:rsidRPr="00303757">
              <w:rPr>
                <w:lang w:val="tr-TR"/>
              </w:rPr>
              <w:t>Çizim alıştırması</w:t>
            </w:r>
          </w:p>
        </w:tc>
        <w:tc>
          <w:tcPr>
            <w:tcW w:w="2410" w:type="dxa"/>
            <w:shd w:val="clear" w:color="auto" w:fill="FFFFFF"/>
            <w:tcMar>
              <w:top w:w="0" w:type="dxa"/>
              <w:left w:w="0" w:type="dxa"/>
              <w:bottom w:w="0" w:type="dxa"/>
              <w:right w:w="0" w:type="dxa"/>
            </w:tcMar>
            <w:vAlign w:val="center"/>
          </w:tcPr>
          <w:p w14:paraId="49190D04" w14:textId="2BB41484" w:rsidR="00F76201" w:rsidRPr="00303757" w:rsidRDefault="00F76201" w:rsidP="00F76201">
            <w:pPr>
              <w:pStyle w:val="NormalFontForTable"/>
              <w:jc w:val="center"/>
              <w:rPr>
                <w:lang w:val="tr-TR"/>
              </w:rPr>
            </w:pPr>
            <w:r w:rsidRPr="00303757">
              <w:rPr>
                <w:lang w:val="tr-TR"/>
              </w:rPr>
              <w:t>40 dk</w:t>
            </w:r>
          </w:p>
        </w:tc>
      </w:tr>
      <w:tr w:rsidR="00F76201" w:rsidRPr="00303757" w14:paraId="16806087" w14:textId="77777777" w:rsidTr="00F76201">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7D2D4D40" w:rsidR="00F76201" w:rsidRPr="00303757" w:rsidRDefault="00F76201" w:rsidP="00F76201">
            <w:pPr>
              <w:pStyle w:val="NormalFontForTable"/>
              <w:rPr>
                <w:lang w:val="tr-TR"/>
              </w:rPr>
            </w:pPr>
            <w:r w:rsidRPr="00303757">
              <w:rPr>
                <w:lang w:val="tr-TR"/>
              </w:rPr>
              <w:t>CPHA yetkinlik çerçevesine giriş</w:t>
            </w:r>
          </w:p>
        </w:tc>
        <w:tc>
          <w:tcPr>
            <w:tcW w:w="6378" w:type="dxa"/>
            <w:shd w:val="clear" w:color="auto" w:fill="F2F2F2" w:themeFill="background1" w:themeFillShade="F2"/>
            <w:tcMar>
              <w:top w:w="0" w:type="dxa"/>
              <w:left w:w="0" w:type="dxa"/>
              <w:bottom w:w="0" w:type="dxa"/>
              <w:right w:w="0" w:type="dxa"/>
            </w:tcMar>
            <w:vAlign w:val="center"/>
          </w:tcPr>
          <w:p w14:paraId="6CF8201B" w14:textId="7A472263" w:rsidR="00F76201" w:rsidRPr="00303757" w:rsidRDefault="00F76201" w:rsidP="00F76201">
            <w:pPr>
              <w:pStyle w:val="NormalFontForTable"/>
              <w:rPr>
                <w:lang w:val="tr-TR"/>
              </w:rPr>
            </w:pPr>
            <w:r w:rsidRPr="00303757">
              <w:rPr>
                <w:lang w:val="tr-TR"/>
              </w:rPr>
              <w:t>Eğitmen girdisi</w:t>
            </w:r>
          </w:p>
        </w:tc>
        <w:tc>
          <w:tcPr>
            <w:tcW w:w="2410" w:type="dxa"/>
            <w:shd w:val="clear" w:color="auto" w:fill="F2F2F2" w:themeFill="background1" w:themeFillShade="F2"/>
            <w:tcMar>
              <w:top w:w="0" w:type="dxa"/>
              <w:left w:w="0" w:type="dxa"/>
              <w:bottom w:w="0" w:type="dxa"/>
              <w:right w:w="0" w:type="dxa"/>
            </w:tcMar>
            <w:vAlign w:val="center"/>
          </w:tcPr>
          <w:p w14:paraId="05F4AC3D" w14:textId="78CB2018" w:rsidR="00F76201" w:rsidRPr="00303757" w:rsidRDefault="00F76201" w:rsidP="00F76201">
            <w:pPr>
              <w:pStyle w:val="NormalFontForTable"/>
              <w:jc w:val="center"/>
              <w:rPr>
                <w:lang w:val="tr-TR"/>
              </w:rPr>
            </w:pPr>
            <w:r w:rsidRPr="00303757">
              <w:rPr>
                <w:lang w:val="tr-TR"/>
              </w:rPr>
              <w:t>5 dk</w:t>
            </w:r>
          </w:p>
        </w:tc>
      </w:tr>
      <w:tr w:rsidR="00F76201" w:rsidRPr="00303757" w14:paraId="22AFDF3E" w14:textId="77777777" w:rsidTr="00F76201">
        <w:trPr>
          <w:trHeight w:val="452"/>
        </w:trPr>
        <w:tc>
          <w:tcPr>
            <w:tcW w:w="5246" w:type="dxa"/>
            <w:shd w:val="clear" w:color="auto" w:fill="FFFFFF"/>
            <w:tcMar>
              <w:top w:w="0" w:type="dxa"/>
              <w:left w:w="0" w:type="dxa"/>
              <w:bottom w:w="0" w:type="dxa"/>
              <w:right w:w="0" w:type="dxa"/>
            </w:tcMar>
            <w:vAlign w:val="center"/>
          </w:tcPr>
          <w:p w14:paraId="5603CFA4" w14:textId="12B8C05F" w:rsidR="00F76201" w:rsidRPr="00303757" w:rsidRDefault="00F76201" w:rsidP="00F76201">
            <w:pPr>
              <w:pStyle w:val="NormalFontForTable"/>
              <w:rPr>
                <w:lang w:val="tr-TR"/>
              </w:rPr>
            </w:pPr>
            <w:r w:rsidRPr="00303757">
              <w:rPr>
                <w:lang w:val="tr-TR"/>
              </w:rPr>
              <w:t>CF yapısı</w:t>
            </w:r>
          </w:p>
        </w:tc>
        <w:tc>
          <w:tcPr>
            <w:tcW w:w="6378" w:type="dxa"/>
            <w:shd w:val="clear" w:color="auto" w:fill="FFFFFF"/>
            <w:tcMar>
              <w:top w:w="0" w:type="dxa"/>
              <w:left w:w="0" w:type="dxa"/>
              <w:bottom w:w="0" w:type="dxa"/>
              <w:right w:w="0" w:type="dxa"/>
            </w:tcMar>
            <w:vAlign w:val="center"/>
          </w:tcPr>
          <w:p w14:paraId="6B41B40C" w14:textId="4AA94113" w:rsidR="00F76201" w:rsidRPr="00303757" w:rsidRDefault="00F76201" w:rsidP="00F76201">
            <w:pPr>
              <w:pStyle w:val="NormalFontForTable"/>
              <w:rPr>
                <w:lang w:val="tr-TR"/>
              </w:rPr>
            </w:pPr>
            <w:r w:rsidRPr="00303757">
              <w:rPr>
                <w:lang w:val="tr-TR"/>
              </w:rPr>
              <w:t>Genel grup testi</w:t>
            </w:r>
          </w:p>
        </w:tc>
        <w:tc>
          <w:tcPr>
            <w:tcW w:w="2410" w:type="dxa"/>
            <w:shd w:val="clear" w:color="auto" w:fill="FFFFFF"/>
            <w:tcMar>
              <w:top w:w="0" w:type="dxa"/>
              <w:left w:w="0" w:type="dxa"/>
              <w:bottom w:w="0" w:type="dxa"/>
              <w:right w:w="0" w:type="dxa"/>
            </w:tcMar>
            <w:vAlign w:val="center"/>
          </w:tcPr>
          <w:p w14:paraId="52A518A9" w14:textId="592C868B" w:rsidR="00F76201" w:rsidRPr="00303757" w:rsidRDefault="00F76201" w:rsidP="00F76201">
            <w:pPr>
              <w:pStyle w:val="NormalFontForTable"/>
              <w:jc w:val="center"/>
              <w:rPr>
                <w:lang w:val="tr-TR"/>
              </w:rPr>
            </w:pPr>
            <w:r w:rsidRPr="00303757">
              <w:rPr>
                <w:lang w:val="tr-TR"/>
              </w:rPr>
              <w:t>20 dk</w:t>
            </w:r>
          </w:p>
        </w:tc>
      </w:tr>
      <w:tr w:rsidR="00F76201" w:rsidRPr="00303757" w14:paraId="3B56AED3" w14:textId="77777777" w:rsidTr="00F76201">
        <w:trPr>
          <w:trHeight w:val="452"/>
        </w:trPr>
        <w:tc>
          <w:tcPr>
            <w:tcW w:w="5246" w:type="dxa"/>
            <w:shd w:val="clear" w:color="auto" w:fill="F2F2F2" w:themeFill="background1" w:themeFillShade="F2"/>
            <w:tcMar>
              <w:top w:w="0" w:type="dxa"/>
              <w:left w:w="0" w:type="dxa"/>
              <w:bottom w:w="0" w:type="dxa"/>
              <w:right w:w="0" w:type="dxa"/>
            </w:tcMar>
            <w:vAlign w:val="center"/>
          </w:tcPr>
          <w:p w14:paraId="2F4CA95E" w14:textId="576B4E9B" w:rsidR="00F76201" w:rsidRPr="00303757" w:rsidRDefault="00F76201" w:rsidP="00F76201">
            <w:pPr>
              <w:pStyle w:val="NormalFontForTable"/>
              <w:rPr>
                <w:lang w:val="tr-TR"/>
              </w:rPr>
            </w:pPr>
            <w:r w:rsidRPr="00303757">
              <w:rPr>
                <w:lang w:val="tr-TR"/>
              </w:rPr>
              <w:t>Temel Faaliyetler</w:t>
            </w:r>
          </w:p>
        </w:tc>
        <w:tc>
          <w:tcPr>
            <w:tcW w:w="6378" w:type="dxa"/>
            <w:shd w:val="clear" w:color="auto" w:fill="F2F2F2" w:themeFill="background1" w:themeFillShade="F2"/>
            <w:tcMar>
              <w:top w:w="0" w:type="dxa"/>
              <w:left w:w="0" w:type="dxa"/>
              <w:bottom w:w="0" w:type="dxa"/>
              <w:right w:w="0" w:type="dxa"/>
            </w:tcMar>
            <w:vAlign w:val="center"/>
          </w:tcPr>
          <w:p w14:paraId="2B0A45B4" w14:textId="61241827" w:rsidR="00F76201" w:rsidRPr="00303757" w:rsidRDefault="00F76201" w:rsidP="00F76201">
            <w:pPr>
              <w:pStyle w:val="NormalFontForTable"/>
              <w:rPr>
                <w:lang w:val="tr-TR"/>
              </w:rPr>
            </w:pPr>
            <w:r w:rsidRPr="00303757">
              <w:rPr>
                <w:lang w:val="tr-TR"/>
              </w:rPr>
              <w:t>Genel grup alıştırması</w:t>
            </w:r>
          </w:p>
        </w:tc>
        <w:tc>
          <w:tcPr>
            <w:tcW w:w="2410" w:type="dxa"/>
            <w:shd w:val="clear" w:color="auto" w:fill="F2F2F2" w:themeFill="background1" w:themeFillShade="F2"/>
            <w:tcMar>
              <w:top w:w="0" w:type="dxa"/>
              <w:left w:w="0" w:type="dxa"/>
              <w:bottom w:w="0" w:type="dxa"/>
              <w:right w:w="0" w:type="dxa"/>
            </w:tcMar>
            <w:vAlign w:val="center"/>
          </w:tcPr>
          <w:p w14:paraId="4420D9F7" w14:textId="0FA2433B" w:rsidR="00F76201" w:rsidRPr="00303757" w:rsidRDefault="00F76201" w:rsidP="00F76201">
            <w:pPr>
              <w:pStyle w:val="NormalFontForTable"/>
              <w:jc w:val="center"/>
              <w:rPr>
                <w:lang w:val="tr-TR"/>
              </w:rPr>
            </w:pPr>
            <w:r w:rsidRPr="00303757">
              <w:rPr>
                <w:lang w:val="tr-TR"/>
              </w:rPr>
              <w:t>15 dk</w:t>
            </w:r>
          </w:p>
        </w:tc>
      </w:tr>
      <w:tr w:rsidR="00F76201" w:rsidRPr="00303757" w14:paraId="37F76EA0" w14:textId="77777777" w:rsidTr="00F76201">
        <w:trPr>
          <w:trHeight w:val="452"/>
        </w:trPr>
        <w:tc>
          <w:tcPr>
            <w:tcW w:w="5246" w:type="dxa"/>
            <w:shd w:val="clear" w:color="auto" w:fill="FFFFFF" w:themeFill="background1"/>
            <w:tcMar>
              <w:top w:w="0" w:type="dxa"/>
              <w:left w:w="0" w:type="dxa"/>
              <w:bottom w:w="0" w:type="dxa"/>
              <w:right w:w="0" w:type="dxa"/>
            </w:tcMar>
            <w:vAlign w:val="center"/>
          </w:tcPr>
          <w:p w14:paraId="1B756112" w14:textId="34620D8C" w:rsidR="00F76201" w:rsidRPr="00303757" w:rsidRDefault="00F76201" w:rsidP="00F76201">
            <w:pPr>
              <w:pStyle w:val="NormalFontForTable"/>
              <w:rPr>
                <w:lang w:val="tr-TR"/>
              </w:rPr>
            </w:pPr>
            <w:r w:rsidRPr="00303757">
              <w:rPr>
                <w:lang w:val="tr-TR"/>
              </w:rPr>
              <w:t>Oturum özeti</w:t>
            </w:r>
          </w:p>
        </w:tc>
        <w:tc>
          <w:tcPr>
            <w:tcW w:w="6378" w:type="dxa"/>
            <w:shd w:val="clear" w:color="auto" w:fill="FFFFFF" w:themeFill="background1"/>
            <w:tcMar>
              <w:top w:w="0" w:type="dxa"/>
              <w:left w:w="0" w:type="dxa"/>
              <w:bottom w:w="0" w:type="dxa"/>
              <w:right w:w="0" w:type="dxa"/>
            </w:tcMar>
            <w:vAlign w:val="center"/>
          </w:tcPr>
          <w:p w14:paraId="0119C171" w14:textId="4E82F745" w:rsidR="00F76201" w:rsidRPr="00303757" w:rsidRDefault="00F76201" w:rsidP="00F76201">
            <w:pPr>
              <w:pStyle w:val="NormalFontForTable"/>
              <w:rPr>
                <w:lang w:val="tr-TR"/>
              </w:rPr>
            </w:pPr>
          </w:p>
        </w:tc>
        <w:tc>
          <w:tcPr>
            <w:tcW w:w="2410" w:type="dxa"/>
            <w:shd w:val="clear" w:color="auto" w:fill="FFFFFF" w:themeFill="background1"/>
            <w:tcMar>
              <w:top w:w="0" w:type="dxa"/>
              <w:left w:w="0" w:type="dxa"/>
              <w:bottom w:w="0" w:type="dxa"/>
              <w:right w:w="0" w:type="dxa"/>
            </w:tcMar>
            <w:vAlign w:val="center"/>
          </w:tcPr>
          <w:p w14:paraId="541EAD9E" w14:textId="34B82F9B" w:rsidR="00F76201" w:rsidRPr="00303757" w:rsidRDefault="00F76201" w:rsidP="00F76201">
            <w:pPr>
              <w:pStyle w:val="NormalFontForTable"/>
              <w:jc w:val="center"/>
              <w:rPr>
                <w:lang w:val="tr-TR"/>
              </w:rPr>
            </w:pPr>
            <w:r w:rsidRPr="00303757">
              <w:rPr>
                <w:lang w:val="tr-TR"/>
              </w:rPr>
              <w:t>3 dk</w:t>
            </w:r>
          </w:p>
        </w:tc>
      </w:tr>
      <w:tr w:rsidR="00F76201" w:rsidRPr="00303757" w14:paraId="2E114B1F" w14:textId="77777777" w:rsidTr="00F76201">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3E50FE33" w:rsidR="00F76201" w:rsidRPr="00303757" w:rsidRDefault="00F76201" w:rsidP="00F76201">
            <w:pPr>
              <w:pStyle w:val="NormalFontForTable"/>
              <w:rPr>
                <w:lang w:val="tr-TR"/>
              </w:rPr>
            </w:pPr>
            <w:r w:rsidRPr="00303757">
              <w:rPr>
                <w:lang w:val="tr-TR"/>
              </w:rPr>
              <w:t xml:space="preserve">Toplam </w:t>
            </w:r>
          </w:p>
        </w:tc>
        <w:tc>
          <w:tcPr>
            <w:tcW w:w="6378"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F76201" w:rsidRPr="00303757" w:rsidRDefault="00F76201" w:rsidP="00F76201">
            <w:pPr>
              <w:pStyle w:val="NormalFontForTable"/>
              <w:rPr>
                <w:lang w:val="tr-TR"/>
              </w:rPr>
            </w:pPr>
          </w:p>
        </w:tc>
        <w:tc>
          <w:tcPr>
            <w:tcW w:w="2410"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35391486" w:rsidR="00F76201" w:rsidRPr="00303757" w:rsidRDefault="00F76201" w:rsidP="00F76201">
            <w:pPr>
              <w:pStyle w:val="NormalFontForTable"/>
              <w:jc w:val="center"/>
              <w:rPr>
                <w:lang w:val="tr-TR"/>
              </w:rPr>
            </w:pPr>
            <w:r w:rsidRPr="00303757">
              <w:rPr>
                <w:lang w:val="tr-TR"/>
              </w:rPr>
              <w:t>85 dk</w:t>
            </w:r>
          </w:p>
        </w:tc>
      </w:tr>
    </w:tbl>
    <w:p w14:paraId="28C6A920" w14:textId="77777777" w:rsidR="00FC56D3" w:rsidRPr="00303757" w:rsidRDefault="00FC56D3" w:rsidP="00414418">
      <w:pPr>
        <w:pStyle w:val="BulletsLevel2"/>
        <w:numPr>
          <w:ilvl w:val="0"/>
          <w:numId w:val="0"/>
        </w:numPr>
        <w:ind w:left="1208" w:hanging="357"/>
        <w:rPr>
          <w:lang w:val="tr-TR"/>
        </w:rPr>
      </w:pPr>
    </w:p>
    <w:p w14:paraId="31BAA326" w14:textId="52E50AFB" w:rsidR="0059398D" w:rsidRPr="00303757" w:rsidRDefault="00D43EF2" w:rsidP="00D43EF2">
      <w:pPr>
        <w:pStyle w:val="1Heading1"/>
        <w:rPr>
          <w:lang w:val="tr-TR"/>
        </w:rPr>
      </w:pPr>
      <w:bookmarkStart w:id="1" w:name="_Toc522623220"/>
      <w:r w:rsidRPr="00303757">
        <w:rPr>
          <w:lang w:val="tr-TR"/>
        </w:rPr>
        <w:t>Eğitmenler için Talimatlar</w:t>
      </w:r>
    </w:p>
    <w:bookmarkEnd w:id="1"/>
    <w:p w14:paraId="26DCE0D7" w14:textId="77777777" w:rsidR="00E11AE8" w:rsidRPr="00303757" w:rsidRDefault="00E11AE8" w:rsidP="00414418">
      <w:pPr>
        <w:rPr>
          <w:lang w:val="tr-TR"/>
        </w:rPr>
      </w:pPr>
    </w:p>
    <w:tbl>
      <w:tblPr>
        <w:tblStyle w:val="TableGrid"/>
        <w:tblW w:w="0" w:type="auto"/>
        <w:tblLook w:val="04A0" w:firstRow="1" w:lastRow="0" w:firstColumn="1" w:lastColumn="0" w:noHBand="0" w:noVBand="1"/>
      </w:tblPr>
      <w:tblGrid>
        <w:gridCol w:w="7123"/>
        <w:gridCol w:w="5925"/>
        <w:gridCol w:w="986"/>
      </w:tblGrid>
      <w:tr w:rsidR="00303757" w:rsidRPr="00303757" w14:paraId="525B3164" w14:textId="77777777" w:rsidTr="00303757">
        <w:trPr>
          <w:trHeight w:val="465"/>
        </w:trPr>
        <w:tc>
          <w:tcPr>
            <w:tcW w:w="7123" w:type="dxa"/>
            <w:tcBorders>
              <w:top w:val="nil"/>
              <w:left w:val="nil"/>
              <w:bottom w:val="single" w:sz="4" w:space="0" w:color="BFBFBF" w:themeColor="background1" w:themeShade="BF"/>
              <w:right w:val="nil"/>
            </w:tcBorders>
            <w:shd w:val="clear" w:color="auto" w:fill="415E78"/>
            <w:vAlign w:val="center"/>
          </w:tcPr>
          <w:p w14:paraId="4C69BF04" w14:textId="5D878F77" w:rsidR="00303757" w:rsidRPr="00303757" w:rsidRDefault="00303757" w:rsidP="00303757">
            <w:pPr>
              <w:pStyle w:val="TablWhiteHeading0MArgins"/>
              <w:spacing w:after="0" w:afterAutospacing="0" w:line="300" w:lineRule="auto"/>
              <w:rPr>
                <w:lang w:val="tr-TR"/>
              </w:rPr>
            </w:pPr>
            <w:r w:rsidRPr="00303757">
              <w:rPr>
                <w:lang w:val="tr-TR"/>
              </w:rPr>
              <w:t xml:space="preserve">Yüz Yüze Metodolojiler </w:t>
            </w:r>
          </w:p>
        </w:tc>
        <w:tc>
          <w:tcPr>
            <w:tcW w:w="5925" w:type="dxa"/>
            <w:tcBorders>
              <w:top w:val="nil"/>
              <w:left w:val="nil"/>
              <w:bottom w:val="single" w:sz="4" w:space="0" w:color="BFBFBF" w:themeColor="background1" w:themeShade="BF"/>
              <w:right w:val="nil"/>
            </w:tcBorders>
            <w:shd w:val="clear" w:color="auto" w:fill="415E78"/>
            <w:vAlign w:val="center"/>
          </w:tcPr>
          <w:p w14:paraId="0FD1DE17" w14:textId="3D0E1D37" w:rsidR="00303757" w:rsidRPr="00303757" w:rsidRDefault="00303757" w:rsidP="00303757">
            <w:pPr>
              <w:pStyle w:val="TablWhiteHeading0MArgins"/>
              <w:spacing w:after="0" w:afterAutospacing="0" w:line="300" w:lineRule="auto"/>
              <w:rPr>
                <w:lang w:val="tr-TR"/>
              </w:rPr>
            </w:pPr>
            <w:r w:rsidRPr="00303757">
              <w:rPr>
                <w:lang w:val="tr-TR"/>
              </w:rPr>
              <w:t>Uzaktan Metodolojiler</w:t>
            </w:r>
          </w:p>
        </w:tc>
        <w:tc>
          <w:tcPr>
            <w:tcW w:w="986" w:type="dxa"/>
            <w:tcBorders>
              <w:top w:val="nil"/>
              <w:left w:val="nil"/>
              <w:bottom w:val="single" w:sz="4" w:space="0" w:color="BFBFBF" w:themeColor="background1" w:themeShade="BF"/>
              <w:right w:val="nil"/>
            </w:tcBorders>
            <w:shd w:val="clear" w:color="auto" w:fill="415E78"/>
            <w:vAlign w:val="center"/>
          </w:tcPr>
          <w:p w14:paraId="0141BF79" w14:textId="131C1A30" w:rsidR="00303757" w:rsidRPr="00303757" w:rsidRDefault="00303757" w:rsidP="00303757">
            <w:pPr>
              <w:pStyle w:val="TablWhiteHeading0MArgins"/>
              <w:spacing w:after="0" w:afterAutospacing="0" w:line="300" w:lineRule="auto"/>
              <w:rPr>
                <w:lang w:val="tr-TR"/>
              </w:rPr>
            </w:pPr>
            <w:r w:rsidRPr="00303757">
              <w:rPr>
                <w:lang w:val="tr-TR"/>
              </w:rPr>
              <w:t>Süre</w:t>
            </w:r>
          </w:p>
        </w:tc>
      </w:tr>
      <w:tr w:rsidR="00303757" w:rsidRPr="00303757" w14:paraId="5EC2E405" w14:textId="77777777" w:rsidTr="00303757">
        <w:tc>
          <w:tcPr>
            <w:tcW w:w="71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AD7A871" w14:textId="77777777" w:rsidR="00303757" w:rsidRPr="00303757" w:rsidRDefault="00303757" w:rsidP="00303757">
            <w:pPr>
              <w:pStyle w:val="TableSmallBlueHeading"/>
              <w:spacing w:before="0" w:line="240" w:lineRule="auto"/>
              <w:rPr>
                <w:lang w:val="tr-TR"/>
              </w:rPr>
            </w:pPr>
            <w:r w:rsidRPr="00303757">
              <w:rPr>
                <w:lang w:val="tr-TR"/>
              </w:rPr>
              <w:t>Oturum tanıtımı</w:t>
            </w:r>
          </w:p>
          <w:p w14:paraId="0BC5A1CC" w14:textId="77777777" w:rsidR="00303757" w:rsidRDefault="00303757" w:rsidP="00303757">
            <w:pPr>
              <w:spacing w:line="240" w:lineRule="auto"/>
              <w:rPr>
                <w:lang w:val="tr-TR"/>
              </w:rPr>
            </w:pPr>
            <w:r w:rsidRPr="00303757">
              <w:rPr>
                <w:lang w:val="tr-TR"/>
              </w:rPr>
              <w:t xml:space="preserve">Katılımcılara oturuma hoş geldiniz deyin ve oturumun hedefleri hakkında bilgi verin. </w:t>
            </w:r>
          </w:p>
          <w:p w14:paraId="393B66EC" w14:textId="0E65BB2A" w:rsidR="00303757" w:rsidRPr="00303757" w:rsidRDefault="00303757" w:rsidP="00303757">
            <w:pPr>
              <w:spacing w:line="240" w:lineRule="auto"/>
              <w:rPr>
                <w:lang w:val="tr-TR"/>
              </w:rPr>
            </w:pPr>
          </w:p>
        </w:tc>
        <w:tc>
          <w:tcPr>
            <w:tcW w:w="59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303757" w:rsidRPr="00303757" w:rsidRDefault="00303757" w:rsidP="00303757">
            <w:pPr>
              <w:spacing w:line="240" w:lineRule="auto"/>
              <w:rPr>
                <w:lang w:val="tr-TR"/>
              </w:rPr>
            </w:pPr>
          </w:p>
        </w:tc>
        <w:tc>
          <w:tcPr>
            <w:tcW w:w="9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3155EF99" w:rsidR="00303757" w:rsidRPr="00303757" w:rsidRDefault="00303757" w:rsidP="00303757">
            <w:pPr>
              <w:spacing w:before="120" w:line="240" w:lineRule="auto"/>
              <w:rPr>
                <w:lang w:val="tr-TR"/>
              </w:rPr>
            </w:pPr>
            <w:r w:rsidRPr="00303757">
              <w:rPr>
                <w:lang w:val="tr-TR"/>
              </w:rPr>
              <w:t>2 dk</w:t>
            </w:r>
          </w:p>
        </w:tc>
      </w:tr>
      <w:tr w:rsidR="00303757" w:rsidRPr="00303757" w14:paraId="27F4A492" w14:textId="77777777" w:rsidTr="00303757">
        <w:tc>
          <w:tcPr>
            <w:tcW w:w="71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4CE7BB3" w14:textId="77777777" w:rsidR="00303757" w:rsidRPr="00303757" w:rsidRDefault="00303757" w:rsidP="002428B6">
            <w:pPr>
              <w:pStyle w:val="TableSmallBlueHeading"/>
              <w:spacing w:before="0" w:line="300" w:lineRule="auto"/>
              <w:rPr>
                <w:lang w:val="tr-TR"/>
              </w:rPr>
            </w:pPr>
            <w:r w:rsidRPr="00303757">
              <w:rPr>
                <w:lang w:val="tr-TR"/>
              </w:rPr>
              <w:lastRenderedPageBreak/>
              <w:t>İK yönetiminin önemi</w:t>
            </w:r>
          </w:p>
          <w:p w14:paraId="406C671B" w14:textId="77777777" w:rsidR="00303757" w:rsidRPr="00303757" w:rsidRDefault="00303757" w:rsidP="002428B6">
            <w:pPr>
              <w:spacing w:after="240"/>
              <w:rPr>
                <w:lang w:val="tr-TR"/>
              </w:rPr>
            </w:pPr>
            <w:r w:rsidRPr="00E91860">
              <w:rPr>
                <w:b/>
                <w:bCs/>
                <w:lang w:val="tr-TR"/>
              </w:rPr>
              <w:t>Talimatlar:</w:t>
            </w:r>
            <w:r w:rsidRPr="00E91860">
              <w:rPr>
                <w:b/>
                <w:bCs/>
                <w:i/>
                <w:lang w:val="tr-TR"/>
              </w:rPr>
              <w:t xml:space="preserve"> </w:t>
            </w:r>
            <w:r w:rsidRPr="00303757">
              <w:rPr>
                <w:i/>
                <w:lang w:val="tr-TR"/>
              </w:rPr>
              <w:t>(Slayt 37)</w:t>
            </w:r>
            <w:r w:rsidRPr="00303757">
              <w:rPr>
                <w:b/>
                <w:lang w:val="tr-TR"/>
              </w:rPr>
              <w:t xml:space="preserve"> </w:t>
            </w:r>
            <w:r w:rsidRPr="00303757">
              <w:rPr>
                <w:lang w:val="tr-TR"/>
              </w:rPr>
              <w:t xml:space="preserve">Katılımcıları yaklaşık 4 kişilik küçük gruplar halinde organize edin ve her gruba bir kağıtlı tahta ve farklı renklerde kalemler verin. </w:t>
            </w:r>
          </w:p>
          <w:p w14:paraId="689F9FC7" w14:textId="77777777" w:rsidR="00303757" w:rsidRPr="00303757" w:rsidRDefault="00303757" w:rsidP="002428B6">
            <w:pPr>
              <w:spacing w:after="240"/>
              <w:rPr>
                <w:lang w:val="tr-TR"/>
              </w:rPr>
            </w:pPr>
            <w:r w:rsidRPr="00303757">
              <w:rPr>
                <w:lang w:val="tr-TR"/>
              </w:rPr>
              <w:t xml:space="preserve">Başlangıç olarak, insan kaynakları yönetiminin CPHA ve kaliteli bir müdahale için neden önemli olduğunu düşüneceğimizi açıklayın. Her bir gruptan bunu tartışmalarını ve buldukları nedenleri göstermek için kağıtlı sunum tahtasına resimler çizmelerini isteyin. </w:t>
            </w:r>
          </w:p>
          <w:p w14:paraId="6EBFD249" w14:textId="77777777" w:rsidR="00303757" w:rsidRPr="00303757" w:rsidRDefault="00303757" w:rsidP="002428B6">
            <w:pPr>
              <w:spacing w:after="240"/>
              <w:rPr>
                <w:lang w:val="tr-TR"/>
              </w:rPr>
            </w:pPr>
            <w:r w:rsidRPr="00303757">
              <w:rPr>
                <w:lang w:val="tr-TR"/>
              </w:rPr>
              <w:t>Tartışma ve çizim için 10-15 dakika zaman verin, ardından her gruptan kağıtlı sunumlarını kısaca göstermelerini ve buldukları nedenleri vurgulamalarını isteyin.</w:t>
            </w:r>
          </w:p>
          <w:p w14:paraId="49EAD6A4" w14:textId="77777777" w:rsidR="00303757" w:rsidRDefault="00303757" w:rsidP="002428B6">
            <w:pPr>
              <w:spacing w:after="240"/>
              <w:rPr>
                <w:lang w:val="tr-TR"/>
              </w:rPr>
            </w:pPr>
            <w:r w:rsidRPr="00E91860">
              <w:rPr>
                <w:b/>
                <w:bCs/>
                <w:lang w:val="tr-TR"/>
              </w:rPr>
              <w:t>Açıklayın:</w:t>
            </w:r>
            <w:r w:rsidRPr="00303757">
              <w:rPr>
                <w:lang w:val="tr-TR"/>
              </w:rPr>
              <w:t xml:space="preserve"> İnsan kaynakları yönetimi </w:t>
            </w:r>
            <w:proofErr w:type="spellStart"/>
            <w:r w:rsidRPr="00303757">
              <w:rPr>
                <w:lang w:val="tr-TR"/>
              </w:rPr>
              <w:t>CPHA'nın</w:t>
            </w:r>
            <w:proofErr w:type="spellEnd"/>
            <w:r w:rsidRPr="00303757">
              <w:rPr>
                <w:lang w:val="tr-TR"/>
              </w:rPr>
              <w:t xml:space="preserve"> önemli bir unsurudur, çünkü bu sayede insani yardım kuruluşları (a) insani yardım faaliyetlerinde çocuk koruma hizmetleri sağlayan tüm kişilerin işlerini yapmak için gereken beceri ve uzmanlığı geliştirmelerini ve (b) politika ve prosedürlere uyum yoluyla tüm çocukların korunmasını sağlayabileceğini özetleyin. </w:t>
            </w:r>
          </w:p>
          <w:p w14:paraId="1C1DA429" w14:textId="77777777" w:rsidR="0078215B" w:rsidRDefault="0078215B" w:rsidP="002428B6">
            <w:pPr>
              <w:spacing w:after="240"/>
              <w:rPr>
                <w:lang w:val="tr-TR"/>
              </w:rPr>
            </w:pPr>
          </w:p>
          <w:p w14:paraId="4738758A" w14:textId="418AF818" w:rsidR="0078215B" w:rsidRPr="0078215B" w:rsidRDefault="0078215B" w:rsidP="002428B6">
            <w:pPr>
              <w:spacing w:after="240"/>
              <w:rPr>
                <w:sz w:val="24"/>
                <w:szCs w:val="24"/>
                <w:lang w:val="tr-TR"/>
              </w:rPr>
            </w:pPr>
          </w:p>
        </w:tc>
        <w:tc>
          <w:tcPr>
            <w:tcW w:w="59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85080B6" w14:textId="77777777" w:rsidR="00303757" w:rsidRPr="00303757" w:rsidRDefault="00303757" w:rsidP="00303757">
            <w:pPr>
              <w:spacing w:line="240" w:lineRule="auto"/>
              <w:rPr>
                <w:lang w:val="tr-TR"/>
              </w:rPr>
            </w:pPr>
          </w:p>
          <w:p w14:paraId="4366CF63" w14:textId="77777777" w:rsidR="00303757" w:rsidRPr="00303757" w:rsidRDefault="00303757" w:rsidP="00303757">
            <w:pPr>
              <w:spacing w:line="240" w:lineRule="auto"/>
              <w:rPr>
                <w:lang w:val="tr-TR"/>
              </w:rPr>
            </w:pPr>
            <w:r w:rsidRPr="00303757">
              <w:rPr>
                <w:lang w:val="tr-TR"/>
              </w:rPr>
              <w:t xml:space="preserve">4'er kişilik ara odalar hazırlayın. </w:t>
            </w:r>
          </w:p>
          <w:p w14:paraId="21A53C8D" w14:textId="5A2ED9D0" w:rsidR="00303757" w:rsidRPr="00303757" w:rsidRDefault="00303757" w:rsidP="00303757">
            <w:pPr>
              <w:spacing w:line="240" w:lineRule="auto"/>
              <w:rPr>
                <w:lang w:val="tr-TR"/>
              </w:rPr>
            </w:pPr>
            <w:r w:rsidRPr="00303757">
              <w:rPr>
                <w:lang w:val="tr-TR"/>
              </w:rPr>
              <w:t xml:space="preserve">Grubun tartışması gerektiğini ve bir veya daha fazla katılımcının fikirlerini göstermek için resim çizmesi gerektiğini açıklayın. Bunlar daha sonra sunum sırasında kameraya tutulmalıdır. </w:t>
            </w:r>
          </w:p>
        </w:tc>
        <w:tc>
          <w:tcPr>
            <w:tcW w:w="9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C713BC" w14:textId="77777777" w:rsidR="00303757" w:rsidRPr="00303757" w:rsidRDefault="00303757" w:rsidP="00303757">
            <w:pPr>
              <w:spacing w:before="120" w:line="240" w:lineRule="auto"/>
              <w:rPr>
                <w:lang w:val="tr-TR"/>
              </w:rPr>
            </w:pPr>
            <w:r w:rsidRPr="00303757">
              <w:rPr>
                <w:lang w:val="tr-TR"/>
              </w:rPr>
              <w:t>40</w:t>
            </w:r>
          </w:p>
          <w:p w14:paraId="5B10A0C6" w14:textId="464D014B" w:rsidR="00303757" w:rsidRPr="00303757" w:rsidRDefault="00303757" w:rsidP="00303757">
            <w:pPr>
              <w:spacing w:before="120" w:line="240" w:lineRule="auto"/>
              <w:rPr>
                <w:i/>
                <w:iCs/>
                <w:lang w:val="tr-TR"/>
              </w:rPr>
            </w:pPr>
            <w:proofErr w:type="gramStart"/>
            <w:r w:rsidRPr="00303757">
              <w:rPr>
                <w:lang w:val="tr-TR"/>
              </w:rPr>
              <w:t>dk</w:t>
            </w:r>
            <w:proofErr w:type="gramEnd"/>
          </w:p>
        </w:tc>
      </w:tr>
      <w:tr w:rsidR="00303757" w:rsidRPr="00303757" w14:paraId="1E81CFCA" w14:textId="77777777" w:rsidTr="00303757">
        <w:tc>
          <w:tcPr>
            <w:tcW w:w="71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F67D8F1" w14:textId="77777777" w:rsidR="00303757" w:rsidRPr="002E42B2" w:rsidRDefault="00303757" w:rsidP="002E42B2">
            <w:pPr>
              <w:pStyle w:val="TableSmallBlueHeading"/>
              <w:spacing w:before="0" w:line="300" w:lineRule="auto"/>
              <w:rPr>
                <w:lang w:val="tr-TR"/>
              </w:rPr>
            </w:pPr>
            <w:r w:rsidRPr="00303757">
              <w:rPr>
                <w:lang w:val="tr-TR"/>
              </w:rPr>
              <w:lastRenderedPageBreak/>
              <w:t>CPHA Yetkinlik Çerçevesine Giriş</w:t>
            </w:r>
          </w:p>
          <w:p w14:paraId="6D6D4B88" w14:textId="77777777" w:rsidR="00303757" w:rsidRPr="00E91860" w:rsidRDefault="00303757" w:rsidP="002428B6">
            <w:pPr>
              <w:spacing w:after="240"/>
              <w:rPr>
                <w:lang w:val="tr-TR"/>
              </w:rPr>
            </w:pPr>
            <w:r w:rsidRPr="00E91860">
              <w:rPr>
                <w:b/>
                <w:bCs/>
                <w:lang w:val="tr-TR"/>
              </w:rPr>
              <w:t>Açıklayın</w:t>
            </w:r>
            <w:r w:rsidRPr="00303757">
              <w:rPr>
                <w:lang w:val="tr-TR"/>
              </w:rPr>
              <w:t xml:space="preserve">: İttifak, sektör içindeki insan kaynakları yönetiminin farklı yönlerini desteklemek için bir CPHA Yetkinlik Çerçevesi geliştirmiştir. </w:t>
            </w:r>
          </w:p>
          <w:p w14:paraId="75FF8A49" w14:textId="77777777" w:rsidR="00303757" w:rsidRPr="00303757" w:rsidRDefault="00303757" w:rsidP="002428B6">
            <w:pPr>
              <w:pBdr>
                <w:top w:val="nil"/>
                <w:left w:val="nil"/>
                <w:bottom w:val="nil"/>
                <w:right w:val="nil"/>
                <w:between w:val="nil"/>
              </w:pBdr>
              <w:spacing w:after="240"/>
              <w:rPr>
                <w:lang w:val="tr-TR"/>
              </w:rPr>
            </w:pPr>
            <w:r w:rsidRPr="00303757">
              <w:rPr>
                <w:lang w:val="tr-TR"/>
              </w:rPr>
              <w:t xml:space="preserve">Sektör içindeki farklı rollere uygulanabilecek bir dizi yol gösterici ilke, teknik yeterlilikler ve temel insani yardım yeterlilikleri genelinde beklenen performans standartlarını genel olarak tanımlar. </w:t>
            </w:r>
          </w:p>
          <w:p w14:paraId="429050F1" w14:textId="77777777" w:rsidR="00303757" w:rsidRPr="00303757" w:rsidRDefault="00303757" w:rsidP="002428B6">
            <w:pPr>
              <w:pBdr>
                <w:top w:val="nil"/>
                <w:left w:val="nil"/>
                <w:bottom w:val="nil"/>
                <w:right w:val="nil"/>
                <w:between w:val="nil"/>
              </w:pBdr>
              <w:spacing w:after="240"/>
              <w:rPr>
                <w:lang w:val="tr-TR"/>
              </w:rPr>
            </w:pPr>
            <w:r w:rsidRPr="00303757">
              <w:rPr>
                <w:lang w:val="tr-TR"/>
              </w:rPr>
              <w:t xml:space="preserve">Bu çerçevenin personel alımı, öğrenme ve mesleki gelişim, performans yönetimi, planlama ve kurumsal tasarım konularında bilgi vermesi amaçlanmaktadır. </w:t>
            </w:r>
          </w:p>
          <w:p w14:paraId="40A62537" w14:textId="77777777" w:rsidR="00303757" w:rsidRPr="00E91860" w:rsidRDefault="00303757" w:rsidP="002428B6">
            <w:pPr>
              <w:pBdr>
                <w:top w:val="nil"/>
                <w:left w:val="nil"/>
                <w:bottom w:val="nil"/>
                <w:right w:val="nil"/>
                <w:between w:val="nil"/>
              </w:pBdr>
              <w:spacing w:after="240"/>
              <w:rPr>
                <w:lang w:val="tr-TR"/>
              </w:rPr>
            </w:pPr>
            <w:r w:rsidRPr="00303757">
              <w:rPr>
                <w:lang w:val="tr-TR"/>
              </w:rPr>
              <w:t xml:space="preserve">Etkilenen nüfuslar için CP önleme, müdahale ve iyileştirme programlarının hesap verebilirliğini, etkinliğini ve öngörülebilirliğini geliştirmeye yönelik sektör çapında kullanılan bir rehber niteliğindedir. </w:t>
            </w:r>
          </w:p>
          <w:p w14:paraId="7A559577" w14:textId="4B67C429" w:rsidR="00303757" w:rsidRPr="00303757" w:rsidRDefault="00303757" w:rsidP="002428B6">
            <w:pPr>
              <w:pBdr>
                <w:top w:val="nil"/>
                <w:left w:val="nil"/>
                <w:bottom w:val="nil"/>
                <w:right w:val="nil"/>
                <w:between w:val="nil"/>
              </w:pBdr>
              <w:spacing w:after="240"/>
              <w:rPr>
                <w:rStyle w:val="Emphasis"/>
                <w:i w:val="0"/>
                <w:iCs w:val="0"/>
                <w:lang w:val="tr-TR"/>
              </w:rPr>
            </w:pPr>
            <w:r w:rsidRPr="00303757">
              <w:rPr>
                <w:lang w:val="tr-TR"/>
              </w:rPr>
              <w:t xml:space="preserve">İnsanlar, ülkeler ve kültürler arasında transfer edilebilir ve giriş, orta ve üst düzey profesyonel gelişim için değerli bir araç olabilir. </w:t>
            </w:r>
          </w:p>
        </w:tc>
        <w:tc>
          <w:tcPr>
            <w:tcW w:w="59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067AC8C" w14:textId="1A1B2572" w:rsidR="00303757" w:rsidRPr="00303757" w:rsidRDefault="00303757" w:rsidP="00303757">
            <w:pPr>
              <w:spacing w:line="240" w:lineRule="auto"/>
              <w:rPr>
                <w:lang w:val="tr-TR"/>
              </w:rPr>
            </w:pPr>
          </w:p>
        </w:tc>
        <w:tc>
          <w:tcPr>
            <w:tcW w:w="9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1F8C3945" w:rsidR="00303757" w:rsidRPr="00303757" w:rsidRDefault="00303757" w:rsidP="00303757">
            <w:pPr>
              <w:spacing w:before="120" w:line="240" w:lineRule="auto"/>
              <w:rPr>
                <w:rStyle w:val="Emphasis"/>
                <w:i w:val="0"/>
                <w:iCs w:val="0"/>
                <w:lang w:val="tr-TR"/>
              </w:rPr>
            </w:pPr>
            <w:r w:rsidRPr="00303757">
              <w:rPr>
                <w:lang w:val="tr-TR"/>
              </w:rPr>
              <w:t>5 dk</w:t>
            </w:r>
          </w:p>
        </w:tc>
      </w:tr>
      <w:tr w:rsidR="00303757" w:rsidRPr="00303757" w14:paraId="677507C4" w14:textId="77777777" w:rsidTr="00303757">
        <w:tc>
          <w:tcPr>
            <w:tcW w:w="71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EFDDB7" w14:textId="77777777" w:rsidR="00303757" w:rsidRPr="00303757" w:rsidRDefault="00303757" w:rsidP="00A554D4">
            <w:pPr>
              <w:pStyle w:val="TableSmallBlueHeading"/>
              <w:spacing w:before="0" w:line="300" w:lineRule="auto"/>
              <w:rPr>
                <w:lang w:val="tr-TR"/>
              </w:rPr>
            </w:pPr>
            <w:r w:rsidRPr="00303757">
              <w:rPr>
                <w:lang w:val="tr-TR"/>
              </w:rPr>
              <w:t xml:space="preserve">CPHA </w:t>
            </w:r>
            <w:proofErr w:type="spellStart"/>
            <w:r w:rsidRPr="00303757">
              <w:rPr>
                <w:lang w:val="tr-TR"/>
              </w:rPr>
              <w:t>CF'nin</w:t>
            </w:r>
            <w:proofErr w:type="spellEnd"/>
            <w:r w:rsidRPr="00303757">
              <w:rPr>
                <w:lang w:val="tr-TR"/>
              </w:rPr>
              <w:t xml:space="preserve"> Yapısı</w:t>
            </w:r>
          </w:p>
          <w:p w14:paraId="3300D572" w14:textId="77777777" w:rsidR="00303757" w:rsidRPr="00257C9A" w:rsidRDefault="00303757" w:rsidP="00A554D4">
            <w:pPr>
              <w:spacing w:after="240"/>
              <w:rPr>
                <w:lang w:val="tr-TR"/>
              </w:rPr>
            </w:pPr>
            <w:r w:rsidRPr="00DE4E6D">
              <w:rPr>
                <w:b/>
                <w:bCs/>
                <w:lang w:val="tr-TR"/>
              </w:rPr>
              <w:t>Talimatlar</w:t>
            </w:r>
            <w:r w:rsidRPr="00303757">
              <w:rPr>
                <w:lang w:val="tr-TR"/>
              </w:rPr>
              <w:t xml:space="preserve">: Slayt 38'i gösterin ve şimdi yetkinlik çerçevesine daha da aşina olmak için bir etkinlik yapacağımızı açıklayın. Katılımcıları </w:t>
            </w:r>
            <w:r w:rsidRPr="00303757">
              <w:rPr>
                <w:lang w:val="tr-TR"/>
              </w:rPr>
              <w:lastRenderedPageBreak/>
              <w:t xml:space="preserve">yaklaşık 4 kişilik küçük gruplar olarak organize edin. Her gruba yetkinlik çerçevesinin basılı bir kopyasını dağıtın veya yetkinlik çerçevesinin </w:t>
            </w:r>
            <w:hyperlink r:id="rId9">
              <w:r w:rsidRPr="00257C9A">
                <w:rPr>
                  <w:color w:val="0388C5" w:themeColor="accent5"/>
                  <w:u w:val="single"/>
                  <w:lang w:val="tr-TR"/>
                </w:rPr>
                <w:t>dijital versiyonu</w:t>
              </w:r>
            </w:hyperlink>
            <w:r w:rsidRPr="00303757">
              <w:rPr>
                <w:lang w:val="tr-TR"/>
              </w:rPr>
              <w:t xml:space="preserve"> bir bilgisayarda veya başka bir cihazda açmalarını isteyin. </w:t>
            </w:r>
          </w:p>
          <w:p w14:paraId="79222D40" w14:textId="77777777" w:rsidR="00303757" w:rsidRPr="00257C9A" w:rsidRDefault="00303757" w:rsidP="00A554D4">
            <w:pPr>
              <w:spacing w:after="240"/>
              <w:rPr>
                <w:lang w:val="tr-TR"/>
              </w:rPr>
            </w:pPr>
            <w:r w:rsidRPr="00303757">
              <w:rPr>
                <w:lang w:val="tr-TR"/>
              </w:rPr>
              <w:t xml:space="preserve">Cevapları yetkinlik çerçevesinde arayabileceklerini ve bulduklarında yazmaları gerektiğini açıklayın. Sonunda cevapları kontrol edeceğiz (bu şekilde tüm gruplar cevapları bulacak ve bir cevabı ilk bulan onlar değilse aramayı bırakmayacaklar). </w:t>
            </w:r>
          </w:p>
          <w:p w14:paraId="346FBF0C" w14:textId="77777777" w:rsidR="00303757" w:rsidRPr="00303757" w:rsidRDefault="00303757" w:rsidP="00A554D4">
            <w:pPr>
              <w:rPr>
                <w:rFonts w:eastAsia="Helvetica Neue"/>
                <w:lang w:val="tr-TR"/>
              </w:rPr>
            </w:pPr>
            <w:r w:rsidRPr="00303757">
              <w:rPr>
                <w:lang w:val="tr-TR"/>
              </w:rPr>
              <w:t xml:space="preserve">Her bir soruyu sorun ve gruplara her bir soru arasında cevabı aramaları için yeterince zaman verin. </w:t>
            </w:r>
          </w:p>
          <w:p w14:paraId="3E00FEC9" w14:textId="77777777" w:rsidR="00303757" w:rsidRPr="00257C9A" w:rsidRDefault="00303757" w:rsidP="00A554D4">
            <w:pPr>
              <w:pStyle w:val="NormalTextBulletsLevel1"/>
              <w:ind w:left="641" w:hanging="357"/>
              <w:rPr>
                <w:highlight w:val="white"/>
                <w:lang w:val="tr-TR"/>
              </w:rPr>
            </w:pPr>
            <w:r w:rsidRPr="00257C9A">
              <w:rPr>
                <w:highlight w:val="white"/>
                <w:lang w:val="tr-TR"/>
              </w:rPr>
              <w:t>CPHA yetkinlik çerçevesinin 3 bileşeni nelerdir? (</w:t>
            </w:r>
            <w:proofErr w:type="gramStart"/>
            <w:r w:rsidRPr="00257C9A">
              <w:rPr>
                <w:highlight w:val="white"/>
                <w:lang w:val="tr-TR"/>
              </w:rPr>
              <w:t>rehber</w:t>
            </w:r>
            <w:proofErr w:type="gramEnd"/>
            <w:r w:rsidRPr="00257C9A">
              <w:rPr>
                <w:highlight w:val="white"/>
                <w:lang w:val="tr-TR"/>
              </w:rPr>
              <w:t xml:space="preserve"> ilkeler, teknik yetkinlikler ve temel insani yetkinlikler)</w:t>
            </w:r>
          </w:p>
          <w:p w14:paraId="473B2D2D" w14:textId="77777777" w:rsidR="00303757" w:rsidRPr="00257C9A" w:rsidRDefault="00303757" w:rsidP="00A554D4">
            <w:pPr>
              <w:pStyle w:val="NormalTextBulletsLevel1"/>
              <w:ind w:left="641" w:hanging="357"/>
              <w:rPr>
                <w:highlight w:val="white"/>
                <w:lang w:val="tr-TR"/>
              </w:rPr>
            </w:pPr>
            <w:r w:rsidRPr="00257C9A">
              <w:rPr>
                <w:highlight w:val="white"/>
                <w:lang w:val="tr-TR"/>
              </w:rPr>
              <w:t>Kaç tane teknik yetkinlik alanı vardır? (4)</w:t>
            </w:r>
          </w:p>
          <w:p w14:paraId="4440EE1D" w14:textId="77777777" w:rsidR="00303757" w:rsidRPr="00257C9A" w:rsidRDefault="00303757" w:rsidP="00A554D4">
            <w:pPr>
              <w:pStyle w:val="NormalTextBulletsLevel1"/>
              <w:ind w:left="641" w:hanging="357"/>
              <w:rPr>
                <w:highlight w:val="white"/>
                <w:lang w:val="tr-TR"/>
              </w:rPr>
            </w:pPr>
            <w:r w:rsidRPr="00257C9A">
              <w:rPr>
                <w:highlight w:val="white"/>
                <w:lang w:val="tr-TR"/>
              </w:rPr>
              <w:t>Kaç tane teknik yetkinlik vardır? (CPMS olarak 28)</w:t>
            </w:r>
          </w:p>
          <w:p w14:paraId="09FBB56A" w14:textId="77777777" w:rsidR="00303757" w:rsidRPr="00257C9A" w:rsidRDefault="00303757" w:rsidP="00A554D4">
            <w:pPr>
              <w:pStyle w:val="NormalTextBulletsLevel1"/>
              <w:ind w:left="641" w:hanging="357"/>
              <w:rPr>
                <w:highlight w:val="white"/>
                <w:lang w:val="tr-TR"/>
              </w:rPr>
            </w:pPr>
            <w:r w:rsidRPr="00257C9A">
              <w:rPr>
                <w:highlight w:val="white"/>
                <w:lang w:val="tr-TR"/>
              </w:rPr>
              <w:t>Kaç tane temel insani yetkinlik alanı vardır? (5)</w:t>
            </w:r>
          </w:p>
          <w:p w14:paraId="186B660C" w14:textId="77777777" w:rsidR="00303757" w:rsidRPr="00257C9A" w:rsidRDefault="00303757" w:rsidP="00A554D4">
            <w:pPr>
              <w:pStyle w:val="NormalTextBulletsLevel1"/>
              <w:ind w:left="641" w:hanging="357"/>
              <w:rPr>
                <w:highlight w:val="white"/>
                <w:lang w:val="tr-TR"/>
              </w:rPr>
            </w:pPr>
            <w:r w:rsidRPr="00257C9A">
              <w:rPr>
                <w:highlight w:val="white"/>
                <w:lang w:val="tr-TR"/>
              </w:rPr>
              <w:t>Kaç tane temel insani yardım yetkinliği vardır? (8)</w:t>
            </w:r>
          </w:p>
          <w:p w14:paraId="6B369939" w14:textId="77777777" w:rsidR="00303757" w:rsidRPr="00257C9A" w:rsidRDefault="00303757" w:rsidP="00A554D4">
            <w:pPr>
              <w:pStyle w:val="NormalTextBulletsLevel1"/>
              <w:ind w:left="641" w:hanging="357"/>
              <w:rPr>
                <w:highlight w:val="white"/>
                <w:lang w:val="tr-TR"/>
              </w:rPr>
            </w:pPr>
            <w:r w:rsidRPr="00257C9A">
              <w:rPr>
                <w:highlight w:val="white"/>
                <w:lang w:val="tr-TR"/>
              </w:rPr>
              <w:t>"Çocukları etkileyen tüm aksiyon ve kararlarda çocuğun yüksek yararını ön planda tutmak" hangi yetkinlik alanında yer almaktadır? (CPHA için Kılavuz İlkelerin Uygulanması)</w:t>
            </w:r>
          </w:p>
          <w:p w14:paraId="28A108C2" w14:textId="77777777" w:rsidR="00303757" w:rsidRPr="00257C9A" w:rsidRDefault="00303757" w:rsidP="00A554D4">
            <w:pPr>
              <w:pStyle w:val="NormalTextBulletsLevel1"/>
              <w:ind w:left="641" w:hanging="357"/>
              <w:rPr>
                <w:highlight w:val="white"/>
                <w:lang w:val="tr-TR"/>
              </w:rPr>
            </w:pPr>
            <w:r w:rsidRPr="00257C9A">
              <w:rPr>
                <w:highlight w:val="white"/>
                <w:lang w:val="tr-TR"/>
              </w:rPr>
              <w:t>'Tehlikeleri ve yaralanma risklerini önleme ve bunlara müdahale etme' hangi yetkinlik alanında yer almaktadır? (Çocuk Koruma Risklerinin Önlenmesi ve Bunlara Müdahale Edilmesi)</w:t>
            </w:r>
          </w:p>
          <w:p w14:paraId="44D9C747" w14:textId="77777777" w:rsidR="00303757" w:rsidRPr="00257C9A" w:rsidRDefault="00303757" w:rsidP="00A554D4">
            <w:pPr>
              <w:pStyle w:val="NormalTextBulletsLevel1"/>
              <w:ind w:left="641" w:hanging="357"/>
              <w:rPr>
                <w:highlight w:val="white"/>
                <w:lang w:val="tr-TR"/>
              </w:rPr>
            </w:pPr>
            <w:r w:rsidRPr="00257C9A">
              <w:rPr>
                <w:highlight w:val="white"/>
                <w:lang w:val="tr-TR"/>
              </w:rPr>
              <w:lastRenderedPageBreak/>
              <w:t>'Çocuklarla Çalışma' hangi yetkinlik alanında yer alır? (İşbirliğine Dayalı İlişkileri Yönetme).</w:t>
            </w:r>
          </w:p>
          <w:p w14:paraId="402F147F" w14:textId="77777777" w:rsidR="00303757" w:rsidRPr="00257C9A" w:rsidRDefault="00303757" w:rsidP="00A554D4">
            <w:pPr>
              <w:spacing w:after="240"/>
              <w:rPr>
                <w:lang w:val="tr-TR"/>
              </w:rPr>
            </w:pPr>
            <w:r w:rsidRPr="00303757">
              <w:rPr>
                <w:lang w:val="tr-TR"/>
              </w:rPr>
              <w:t xml:space="preserve">Akabinde her bir sorunun yanıtlarını gözden geçirin. Yanlış cevaplanan sorular varsa, doğru cevabı ve bunu nerede bulabileceklerini açıklayın. </w:t>
            </w:r>
          </w:p>
          <w:p w14:paraId="43E7B97E" w14:textId="77777777" w:rsidR="00303757" w:rsidRPr="00257C9A" w:rsidRDefault="00303757" w:rsidP="00A554D4">
            <w:pPr>
              <w:spacing w:after="240"/>
              <w:rPr>
                <w:lang w:val="tr-TR"/>
              </w:rPr>
            </w:pPr>
            <w:r w:rsidRPr="00303757">
              <w:rPr>
                <w:lang w:val="tr-TR"/>
              </w:rPr>
              <w:t>Slayt 39'u gösterin ve açıklayın: CPHA Yetkinlik Çerçevesi bundan dolayı üç ana bölümden oluşmaktadır:</w:t>
            </w:r>
          </w:p>
          <w:p w14:paraId="2BC3F02A" w14:textId="77777777" w:rsidR="00303757" w:rsidRPr="00257C9A" w:rsidRDefault="00303757" w:rsidP="00A554D4">
            <w:pPr>
              <w:spacing w:after="240"/>
              <w:rPr>
                <w:lang w:val="tr-TR"/>
              </w:rPr>
            </w:pPr>
            <w:r w:rsidRPr="00303757">
              <w:rPr>
                <w:lang w:val="tr-TR"/>
              </w:rPr>
              <w:t xml:space="preserve">CPHA Rehber İlkeler </w:t>
            </w:r>
            <w:proofErr w:type="gramStart"/>
            <w:r w:rsidRPr="00303757">
              <w:rPr>
                <w:lang w:val="tr-TR"/>
              </w:rPr>
              <w:t>yetkinlikleri -</w:t>
            </w:r>
            <w:proofErr w:type="gramEnd"/>
            <w:r w:rsidRPr="00303757">
              <w:rPr>
                <w:lang w:val="tr-TR"/>
              </w:rPr>
              <w:t xml:space="preserve"> insani yardım programlarında çocuk korumanın tam olarak uygulanması için son derece önemli olan rehber ilkeleri rol model almak için kullanılması beklenen davranışları tanımlar. </w:t>
            </w:r>
          </w:p>
          <w:p w14:paraId="16E1497C" w14:textId="77777777" w:rsidR="00303757" w:rsidRPr="00257C9A" w:rsidRDefault="00303757" w:rsidP="00A554D4">
            <w:pPr>
              <w:spacing w:after="240"/>
              <w:rPr>
                <w:lang w:val="tr-TR"/>
              </w:rPr>
            </w:pPr>
            <w:r w:rsidRPr="00303757">
              <w:rPr>
                <w:lang w:val="tr-TR"/>
              </w:rPr>
              <w:t xml:space="preserve">Teknik CPHA </w:t>
            </w:r>
            <w:proofErr w:type="gramStart"/>
            <w:r w:rsidRPr="00303757">
              <w:rPr>
                <w:lang w:val="tr-TR"/>
              </w:rPr>
              <w:t>yetkinlikleri -</w:t>
            </w:r>
            <w:proofErr w:type="gramEnd"/>
            <w:r w:rsidRPr="00303757">
              <w:rPr>
                <w:lang w:val="tr-TR"/>
              </w:rPr>
              <w:t xml:space="preserve"> CPHA uygulayıcılarının rollerinde etkili olmak için sahip olmaları gereken teknik bilgi, beceri ve tutumları tanımlar. </w:t>
            </w:r>
          </w:p>
          <w:p w14:paraId="2563EAB0" w14:textId="22431251" w:rsidR="00303757" w:rsidRPr="00257C9A" w:rsidRDefault="00303757" w:rsidP="00A554D4">
            <w:pPr>
              <w:spacing w:after="240"/>
              <w:rPr>
                <w:rStyle w:val="Emphasis"/>
                <w:i w:val="0"/>
                <w:iCs w:val="0"/>
                <w:lang w:val="tr-TR"/>
              </w:rPr>
            </w:pPr>
            <w:r w:rsidRPr="00303757">
              <w:rPr>
                <w:lang w:val="tr-TR"/>
              </w:rPr>
              <w:t xml:space="preserve">Çocuk korumaya yönelik temel insani yardım </w:t>
            </w:r>
            <w:proofErr w:type="gramStart"/>
            <w:r w:rsidRPr="00303757">
              <w:rPr>
                <w:lang w:val="tr-TR"/>
              </w:rPr>
              <w:t>yetkinlikleri -</w:t>
            </w:r>
            <w:proofErr w:type="gramEnd"/>
            <w:r w:rsidRPr="00303757">
              <w:rPr>
                <w:lang w:val="tr-TR"/>
              </w:rPr>
              <w:t xml:space="preserve"> çocuk koruma uygulayıcılarının insani yardım ortamlarında etkili bir şekilde faaliyet gösterebilmek için sergilemeleri gereken temel davranışları tanımlar. Bunlar Temel İnsani Yardım Yetkinlik Çerçevesinden uyarlanmıştır ve çocuk korumaya özgü davranışları tanımlamaktadır.</w:t>
            </w:r>
          </w:p>
        </w:tc>
        <w:tc>
          <w:tcPr>
            <w:tcW w:w="59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75DDA9" w14:textId="77777777" w:rsidR="00303757" w:rsidRPr="00303757" w:rsidRDefault="00303757" w:rsidP="00303757">
            <w:pPr>
              <w:spacing w:line="240" w:lineRule="auto"/>
              <w:rPr>
                <w:lang w:val="tr-TR"/>
              </w:rPr>
            </w:pPr>
          </w:p>
          <w:p w14:paraId="7BC570E9" w14:textId="77777777" w:rsidR="00303757" w:rsidRPr="00303757" w:rsidRDefault="00303757" w:rsidP="00303757">
            <w:pPr>
              <w:spacing w:line="240" w:lineRule="auto"/>
              <w:rPr>
                <w:lang w:val="tr-TR"/>
              </w:rPr>
            </w:pPr>
          </w:p>
          <w:p w14:paraId="608996A6" w14:textId="77777777" w:rsidR="00303757" w:rsidRPr="00303757" w:rsidRDefault="00303757" w:rsidP="00303757">
            <w:pPr>
              <w:spacing w:line="240" w:lineRule="auto"/>
              <w:rPr>
                <w:lang w:val="tr-TR"/>
              </w:rPr>
            </w:pPr>
          </w:p>
          <w:p w14:paraId="19654FD3" w14:textId="77777777" w:rsidR="00303757" w:rsidRPr="00303757" w:rsidRDefault="00303757" w:rsidP="00303757">
            <w:pPr>
              <w:spacing w:line="240" w:lineRule="auto"/>
              <w:rPr>
                <w:lang w:val="tr-TR"/>
              </w:rPr>
            </w:pPr>
          </w:p>
          <w:p w14:paraId="5EB40C3F" w14:textId="77777777" w:rsidR="00303757" w:rsidRPr="00303757" w:rsidRDefault="00303757" w:rsidP="00303757">
            <w:pPr>
              <w:spacing w:line="240" w:lineRule="auto"/>
              <w:rPr>
                <w:lang w:val="tr-TR"/>
              </w:rPr>
            </w:pPr>
          </w:p>
          <w:p w14:paraId="3C46A860" w14:textId="77777777" w:rsidR="00303757" w:rsidRPr="00303757" w:rsidRDefault="00303757" w:rsidP="00303757">
            <w:pPr>
              <w:spacing w:line="240" w:lineRule="auto"/>
              <w:rPr>
                <w:lang w:val="tr-TR"/>
              </w:rPr>
            </w:pPr>
            <w:r w:rsidRPr="00303757">
              <w:rPr>
                <w:lang w:val="tr-TR"/>
              </w:rPr>
              <w:t xml:space="preserve">Testi gruplar halinde değil, bireysel olarak yapın. </w:t>
            </w:r>
          </w:p>
          <w:p w14:paraId="7DB63C65" w14:textId="77777777" w:rsidR="00303757" w:rsidRPr="00303757" w:rsidRDefault="00303757" w:rsidP="00303757">
            <w:pPr>
              <w:spacing w:line="240" w:lineRule="auto"/>
              <w:rPr>
                <w:lang w:val="tr-TR"/>
              </w:rPr>
            </w:pPr>
            <w:r w:rsidRPr="00303757">
              <w:rPr>
                <w:lang w:val="tr-TR"/>
              </w:rPr>
              <w:t xml:space="preserve">Sohbete </w:t>
            </w:r>
            <w:hyperlink r:id="rId10">
              <w:r w:rsidRPr="0078215B">
                <w:rPr>
                  <w:color w:val="0388C5" w:themeColor="accent5"/>
                  <w:u w:val="single"/>
                  <w:lang w:val="tr-TR"/>
                </w:rPr>
                <w:t>yetkinlik çerçevesinin</w:t>
              </w:r>
            </w:hyperlink>
            <w:r w:rsidRPr="0078215B">
              <w:rPr>
                <w:color w:val="0388C5" w:themeColor="accent5"/>
                <w:lang w:val="tr-TR"/>
              </w:rPr>
              <w:t xml:space="preserve"> </w:t>
            </w:r>
            <w:r w:rsidRPr="00303757">
              <w:rPr>
                <w:lang w:val="tr-TR"/>
              </w:rPr>
              <w:t>linkini yapıştırın.</w:t>
            </w:r>
          </w:p>
          <w:p w14:paraId="052F2826" w14:textId="70B90F3F" w:rsidR="00303757" w:rsidRPr="00303757" w:rsidRDefault="00303757" w:rsidP="00303757">
            <w:pPr>
              <w:spacing w:line="240" w:lineRule="auto"/>
              <w:rPr>
                <w:rStyle w:val="Emphasis"/>
                <w:b/>
                <w:i w:val="0"/>
                <w:iCs w:val="0"/>
                <w:lang w:val="tr-TR"/>
              </w:rPr>
            </w:pPr>
          </w:p>
        </w:tc>
        <w:tc>
          <w:tcPr>
            <w:tcW w:w="9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21ACB1C5" w:rsidR="00303757" w:rsidRPr="00303757" w:rsidRDefault="00303757" w:rsidP="00303757">
            <w:pPr>
              <w:spacing w:before="120" w:line="240" w:lineRule="auto"/>
              <w:rPr>
                <w:rStyle w:val="Emphasis"/>
                <w:i w:val="0"/>
                <w:iCs w:val="0"/>
                <w:lang w:val="tr-TR"/>
              </w:rPr>
            </w:pPr>
            <w:r w:rsidRPr="00303757">
              <w:rPr>
                <w:lang w:val="tr-TR"/>
              </w:rPr>
              <w:lastRenderedPageBreak/>
              <w:t>20 dk</w:t>
            </w:r>
          </w:p>
        </w:tc>
      </w:tr>
      <w:tr w:rsidR="00303757" w:rsidRPr="00303757" w14:paraId="46CABD12" w14:textId="77777777" w:rsidTr="00303757">
        <w:tc>
          <w:tcPr>
            <w:tcW w:w="71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40B11108" w14:textId="77777777" w:rsidR="00303757" w:rsidRPr="00303757" w:rsidRDefault="00303757" w:rsidP="00A554D4">
            <w:pPr>
              <w:pStyle w:val="TableSmallBlueHeading"/>
              <w:spacing w:before="0" w:line="300" w:lineRule="auto"/>
              <w:rPr>
                <w:lang w:val="tr-TR"/>
              </w:rPr>
            </w:pPr>
            <w:r w:rsidRPr="00303757">
              <w:rPr>
                <w:lang w:val="tr-TR"/>
              </w:rPr>
              <w:lastRenderedPageBreak/>
              <w:t>Temel Faaliyetler</w:t>
            </w:r>
          </w:p>
          <w:p w14:paraId="63E74415" w14:textId="77777777" w:rsidR="00303757" w:rsidRPr="00303757" w:rsidRDefault="00303757" w:rsidP="00A554D4">
            <w:pPr>
              <w:spacing w:after="240"/>
              <w:rPr>
                <w:lang w:val="tr-TR"/>
              </w:rPr>
            </w:pPr>
            <w:r w:rsidRPr="00A554D4">
              <w:rPr>
                <w:b/>
                <w:bCs/>
                <w:lang w:val="tr-TR"/>
              </w:rPr>
              <w:t>Açıklayın</w:t>
            </w:r>
            <w:r w:rsidRPr="00303757">
              <w:rPr>
                <w:lang w:val="tr-TR"/>
              </w:rPr>
              <w:t>:</w:t>
            </w:r>
            <w:r w:rsidRPr="00303757">
              <w:rPr>
                <w:b/>
                <w:lang w:val="tr-TR"/>
              </w:rPr>
              <w:t xml:space="preserve"> </w:t>
            </w:r>
            <w:proofErr w:type="spellStart"/>
            <w:r w:rsidRPr="00303757">
              <w:rPr>
                <w:lang w:val="tr-TR"/>
              </w:rPr>
              <w:t>CPMS'deki</w:t>
            </w:r>
            <w:proofErr w:type="spellEnd"/>
            <w:r w:rsidRPr="00303757">
              <w:rPr>
                <w:lang w:val="tr-TR"/>
              </w:rPr>
              <w:t xml:space="preserve"> her standartta olduğu gibi, standart 2 de, uygulayıcılara standardı uygulamak için işlerinde yapabilecekleri şeylerin somut örneklerini sağlamak için temel eylemleri listeler.</w:t>
            </w:r>
          </w:p>
          <w:p w14:paraId="3E78FBC0" w14:textId="77777777" w:rsidR="00303757" w:rsidRPr="00303757" w:rsidRDefault="00303757" w:rsidP="00A554D4">
            <w:pPr>
              <w:spacing w:after="240"/>
              <w:rPr>
                <w:lang w:val="tr-TR"/>
              </w:rPr>
            </w:pPr>
            <w:r w:rsidRPr="00A554D4">
              <w:rPr>
                <w:b/>
                <w:bCs/>
                <w:lang w:val="tr-TR"/>
              </w:rPr>
              <w:t>Talimatlar</w:t>
            </w:r>
            <w:r w:rsidRPr="00303757">
              <w:rPr>
                <w:lang w:val="tr-TR"/>
              </w:rPr>
              <w:t>:</w:t>
            </w:r>
            <w:r w:rsidRPr="00303757">
              <w:rPr>
                <w:b/>
                <w:lang w:val="tr-TR"/>
              </w:rPr>
              <w:t xml:space="preserve"> </w:t>
            </w:r>
            <w:r w:rsidRPr="00303757">
              <w:rPr>
                <w:lang w:val="tr-TR"/>
              </w:rPr>
              <w:t xml:space="preserve">Şimdi kaliteli bir müdahale için İK ile ilgili bazı temel eylemleri daha yakından tanımak üzere bir etkinlik yapacağımızı açıklayın. Temel eylemlerin Hazırlık eylemleri ve Müdahale eylemleri olarak ikiye ayrıldığını hatırlayın. </w:t>
            </w:r>
          </w:p>
          <w:p w14:paraId="4A6A658D" w14:textId="77777777" w:rsidR="00303757" w:rsidRPr="00303757" w:rsidRDefault="00303757" w:rsidP="00A554D4">
            <w:pPr>
              <w:spacing w:after="240"/>
              <w:rPr>
                <w:lang w:val="tr-TR"/>
              </w:rPr>
            </w:pPr>
            <w:r w:rsidRPr="00303757">
              <w:rPr>
                <w:lang w:val="tr-TR"/>
              </w:rPr>
              <w:t xml:space="preserve">**Standart 2'den bağlamınızla en fazla ilgili olabilecek 3 hazırlık ve 3 müdahale ifadesi seçin. </w:t>
            </w:r>
          </w:p>
          <w:p w14:paraId="59BD7136" w14:textId="77777777" w:rsidR="00303757" w:rsidRPr="00303757" w:rsidRDefault="00303757" w:rsidP="00A554D4">
            <w:pPr>
              <w:spacing w:after="240"/>
              <w:rPr>
                <w:lang w:val="tr-TR"/>
              </w:rPr>
            </w:pPr>
            <w:r w:rsidRPr="00303757">
              <w:rPr>
                <w:lang w:val="tr-TR"/>
              </w:rPr>
              <w:t xml:space="preserve">Bazı kilit eylemleri okuyacağınızı belirtin. Katılımcılar dikkatle dinlemeli ve sonrasında her bir eylemin hazırlıkla mı yoksa müdahaleyle mi ilgili olduğuna karar vermelidir. Gruptan iki işaret bulmalarını </w:t>
            </w:r>
            <w:proofErr w:type="gramStart"/>
            <w:r w:rsidRPr="00303757">
              <w:rPr>
                <w:lang w:val="tr-TR"/>
              </w:rPr>
              <w:t>isteyin -</w:t>
            </w:r>
            <w:proofErr w:type="gramEnd"/>
            <w:r w:rsidRPr="00303757">
              <w:rPr>
                <w:lang w:val="tr-TR"/>
              </w:rPr>
              <w:t xml:space="preserve"> bunun bir hazırlık eylemi olduğunu düşünüyorlarsa bir işaret, bir müdahale eylemi olduğunu düşünüyorlarsa farklı bir işaret vermeleri gerekir. (Daha yaratıcı bir şey bulmakta zorlanıyorlarsa, ayağa kalkıp oturmalarını önerebilirsiniz.)</w:t>
            </w:r>
          </w:p>
          <w:p w14:paraId="31ACFD85" w14:textId="77777777" w:rsidR="00303757" w:rsidRPr="00303757" w:rsidRDefault="00303757" w:rsidP="00A554D4">
            <w:pPr>
              <w:spacing w:after="240"/>
              <w:rPr>
                <w:lang w:val="tr-TR"/>
              </w:rPr>
            </w:pPr>
            <w:r w:rsidRPr="00303757">
              <w:rPr>
                <w:lang w:val="tr-TR"/>
              </w:rPr>
              <w:t xml:space="preserve">Aşağıdaki anahtar eylemi okuyarak bir alıştırma turu yapın: </w:t>
            </w:r>
            <w:r w:rsidRPr="00303757">
              <w:rPr>
                <w:i/>
                <w:lang w:val="tr-TR"/>
              </w:rPr>
              <w:t>Tüm personel ve ortaklar için geçerli olan bir koruma politikası geliştirin, uygulayın ve izleyin.</w:t>
            </w:r>
            <w:r w:rsidRPr="00303757">
              <w:rPr>
                <w:lang w:val="tr-TR"/>
              </w:rPr>
              <w:t xml:space="preserve"> Katılımcılardan bunun bir hazırlık eylemi mi </w:t>
            </w:r>
            <w:r w:rsidRPr="00303757">
              <w:rPr>
                <w:lang w:val="tr-TR"/>
              </w:rPr>
              <w:lastRenderedPageBreak/>
              <w:t xml:space="preserve">yoksa müdahale eylemi mi olduğunu düşündüklerini kararlaştırılan işaretleri kullanarak belirtmelerini talep edin. Bunun bir yanıt eylemi örneği olduğunu dikkate alın. </w:t>
            </w:r>
          </w:p>
          <w:p w14:paraId="2EB5B143" w14:textId="49AC923A" w:rsidR="00303757" w:rsidRPr="00303757" w:rsidRDefault="00303757" w:rsidP="00A554D4">
            <w:pPr>
              <w:spacing w:after="240"/>
              <w:rPr>
                <w:lang w:val="tr-TR"/>
              </w:rPr>
            </w:pPr>
            <w:r w:rsidRPr="00303757">
              <w:rPr>
                <w:lang w:val="tr-TR"/>
              </w:rPr>
              <w:t xml:space="preserve">Talimatların anlaşılır olup olmadığını kontrol edin ve ardından daha önce standart 2'den seçtiğiniz temel eylemlerle alıştırmayı uygulamaya devam edin. </w:t>
            </w:r>
          </w:p>
        </w:tc>
        <w:tc>
          <w:tcPr>
            <w:tcW w:w="59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B5E348E" w14:textId="77777777" w:rsidR="00303757" w:rsidRPr="00303757" w:rsidRDefault="00303757" w:rsidP="00303757">
            <w:pPr>
              <w:pStyle w:val="TableSmallBlueHeading"/>
              <w:spacing w:before="0" w:line="240" w:lineRule="auto"/>
              <w:rPr>
                <w:rStyle w:val="Emphasis"/>
                <w:b w:val="0"/>
                <w:i w:val="0"/>
                <w:iCs w:val="0"/>
                <w:lang w:val="tr-TR"/>
              </w:rPr>
            </w:pPr>
          </w:p>
        </w:tc>
        <w:tc>
          <w:tcPr>
            <w:tcW w:w="9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812DD90" w14:textId="52F57E3F" w:rsidR="00303757" w:rsidRPr="00303757" w:rsidRDefault="00303757" w:rsidP="00303757">
            <w:pPr>
              <w:spacing w:before="120" w:line="240" w:lineRule="auto"/>
              <w:rPr>
                <w:rStyle w:val="Emphasis"/>
                <w:i w:val="0"/>
                <w:iCs w:val="0"/>
                <w:lang w:val="tr-TR"/>
              </w:rPr>
            </w:pPr>
            <w:r w:rsidRPr="00303757">
              <w:rPr>
                <w:lang w:val="tr-TR"/>
              </w:rPr>
              <w:t>15 dk</w:t>
            </w:r>
          </w:p>
        </w:tc>
      </w:tr>
      <w:tr w:rsidR="00303757" w:rsidRPr="00303757" w14:paraId="74A72932" w14:textId="77777777" w:rsidTr="00303757">
        <w:tc>
          <w:tcPr>
            <w:tcW w:w="712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5902F66" w14:textId="77777777" w:rsidR="00303757" w:rsidRPr="00303757" w:rsidRDefault="00303757" w:rsidP="00303757">
            <w:pPr>
              <w:pStyle w:val="TableSmallBlueHeading"/>
              <w:spacing w:before="0" w:line="240" w:lineRule="auto"/>
              <w:rPr>
                <w:lang w:val="tr-TR"/>
              </w:rPr>
            </w:pPr>
            <w:r w:rsidRPr="00303757">
              <w:rPr>
                <w:lang w:val="tr-TR"/>
              </w:rPr>
              <w:t>Oturum özeti</w:t>
            </w:r>
          </w:p>
          <w:p w14:paraId="1E8D1B38" w14:textId="77777777" w:rsidR="00303757" w:rsidRPr="00303757" w:rsidRDefault="00303757" w:rsidP="00A554D4">
            <w:pPr>
              <w:spacing w:after="240"/>
              <w:rPr>
                <w:lang w:val="tr-TR"/>
              </w:rPr>
            </w:pPr>
            <w:r w:rsidRPr="00303757">
              <w:rPr>
                <w:lang w:val="tr-TR"/>
              </w:rPr>
              <w:t xml:space="preserve">Katılımcılara öğrenme günlüklerini istedikleri zaman kullanarak temel öğrenme noktalarını not edebileceklerini hatırlatın ve 40. slaytı göstererek oturumu özetleyin. </w:t>
            </w:r>
          </w:p>
          <w:p w14:paraId="61C51A49" w14:textId="77777777" w:rsidR="00303757" w:rsidRPr="00303757" w:rsidRDefault="00303757" w:rsidP="00303757">
            <w:pPr>
              <w:spacing w:line="240" w:lineRule="auto"/>
              <w:rPr>
                <w:lang w:val="tr-TR"/>
              </w:rPr>
            </w:pPr>
            <w:r w:rsidRPr="00303757">
              <w:rPr>
                <w:lang w:val="tr-TR"/>
              </w:rPr>
              <w:t xml:space="preserve">Yansıtıcı uygulamaya yönelik öneri niteliğindeki sorular: </w:t>
            </w:r>
          </w:p>
          <w:p w14:paraId="618E5FB9" w14:textId="77777777" w:rsidR="00303757" w:rsidRPr="00A554D4" w:rsidRDefault="00303757" w:rsidP="00A554D4">
            <w:pPr>
              <w:pStyle w:val="NormalTextBulletsLevel1"/>
              <w:ind w:left="465" w:hanging="357"/>
              <w:rPr>
                <w:highlight w:val="white"/>
                <w:lang w:val="tr-TR"/>
              </w:rPr>
            </w:pPr>
            <w:r w:rsidRPr="00A554D4">
              <w:rPr>
                <w:highlight w:val="white"/>
                <w:lang w:val="tr-TR"/>
              </w:rPr>
              <w:t xml:space="preserve">İnsani Yardım Faaliyetlerinde İnsan Kaynakları ve Çocuk Koruma hakkında öğrendiklerinizle şimdi neler </w:t>
            </w:r>
            <w:proofErr w:type="gramStart"/>
            <w:r w:rsidRPr="00A554D4">
              <w:rPr>
                <w:highlight w:val="white"/>
                <w:lang w:val="tr-TR"/>
              </w:rPr>
              <w:t>yapabilirsiniz ?</w:t>
            </w:r>
            <w:proofErr w:type="gramEnd"/>
          </w:p>
          <w:p w14:paraId="6C8380AB" w14:textId="2DFB2A0E" w:rsidR="00303757" w:rsidRPr="00303757" w:rsidRDefault="00303757" w:rsidP="00A554D4">
            <w:pPr>
              <w:pStyle w:val="NormalTextBulletsLevel1"/>
              <w:ind w:left="465" w:hanging="357"/>
              <w:rPr>
                <w:b/>
                <w:bCs/>
                <w:color w:val="315072"/>
                <w:spacing w:val="20"/>
                <w:lang w:val="tr-TR" w:eastAsia="en-ZA"/>
              </w:rPr>
            </w:pPr>
            <w:r w:rsidRPr="00A554D4">
              <w:rPr>
                <w:highlight w:val="white"/>
                <w:lang w:val="tr-TR"/>
              </w:rPr>
              <w:t>Bu oturumda sizi meraklandıran bir şey var mı?</w:t>
            </w:r>
          </w:p>
        </w:tc>
        <w:tc>
          <w:tcPr>
            <w:tcW w:w="59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BEC10F7" w14:textId="77777777" w:rsidR="00303757" w:rsidRPr="00303757" w:rsidRDefault="00303757" w:rsidP="00303757">
            <w:pPr>
              <w:pStyle w:val="TableSmallBlueHeading"/>
              <w:spacing w:before="0" w:line="240" w:lineRule="auto"/>
              <w:rPr>
                <w:rStyle w:val="Emphasis"/>
                <w:b w:val="0"/>
                <w:i w:val="0"/>
                <w:iCs w:val="0"/>
                <w:lang w:val="tr-TR"/>
              </w:rPr>
            </w:pPr>
          </w:p>
        </w:tc>
        <w:tc>
          <w:tcPr>
            <w:tcW w:w="98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A539C7C" w14:textId="01A4291B" w:rsidR="00303757" w:rsidRPr="00303757" w:rsidRDefault="00303757" w:rsidP="00303757">
            <w:pPr>
              <w:spacing w:before="120" w:line="240" w:lineRule="auto"/>
              <w:rPr>
                <w:rStyle w:val="Emphasis"/>
                <w:i w:val="0"/>
                <w:iCs w:val="0"/>
                <w:lang w:val="tr-TR"/>
              </w:rPr>
            </w:pPr>
            <w:r w:rsidRPr="00303757">
              <w:rPr>
                <w:lang w:val="tr-TR"/>
              </w:rPr>
              <w:t>3 dk</w:t>
            </w:r>
          </w:p>
        </w:tc>
      </w:tr>
    </w:tbl>
    <w:p w14:paraId="571E01A3" w14:textId="77777777" w:rsidR="00B11BDB" w:rsidRPr="00303757" w:rsidRDefault="00B11BDB" w:rsidP="00414418">
      <w:pPr>
        <w:rPr>
          <w:lang w:val="tr-TR"/>
        </w:rPr>
      </w:pPr>
    </w:p>
    <w:p w14:paraId="1823FB13" w14:textId="77777777" w:rsidR="00C92BE5" w:rsidRDefault="00C92BE5" w:rsidP="00414418">
      <w:pPr>
        <w:rPr>
          <w:lang w:val="tr-TR"/>
        </w:rPr>
      </w:pPr>
    </w:p>
    <w:p w14:paraId="0735D72C" w14:textId="77777777" w:rsidR="004A7CCE" w:rsidRDefault="004A7CCE" w:rsidP="00414418">
      <w:pPr>
        <w:rPr>
          <w:lang w:val="tr-TR"/>
        </w:rPr>
      </w:pPr>
    </w:p>
    <w:p w14:paraId="22AD92BC" w14:textId="77777777" w:rsidR="004A7CCE" w:rsidRPr="00303757" w:rsidRDefault="004A7CCE" w:rsidP="00414418">
      <w:pPr>
        <w:rPr>
          <w:lang w:val="tr-TR"/>
        </w:rPr>
      </w:pPr>
    </w:p>
    <w:p w14:paraId="06F5F6FA" w14:textId="77777777" w:rsidR="00C92BE5" w:rsidRPr="00303757" w:rsidRDefault="00C92BE5" w:rsidP="00414418">
      <w:pPr>
        <w:rPr>
          <w:lang w:val="tr-TR"/>
        </w:rPr>
      </w:pPr>
    </w:p>
    <w:p w14:paraId="425D6988" w14:textId="1E2782E3" w:rsidR="00C53D96" w:rsidRPr="00303757" w:rsidRDefault="004A7CCE" w:rsidP="004A7CCE">
      <w:pPr>
        <w:pStyle w:val="1Heading1"/>
        <w:rPr>
          <w:lang w:val="tr-TR"/>
        </w:rPr>
      </w:pPr>
      <w:r w:rsidRPr="004A7CCE">
        <w:rPr>
          <w:lang w:val="tr-TR"/>
        </w:rPr>
        <w:lastRenderedPageBreak/>
        <w:t>Destekleyici Bilgiler</w:t>
      </w:r>
    </w:p>
    <w:p w14:paraId="202781F5" w14:textId="77777777" w:rsidR="00F96683" w:rsidRPr="00303757" w:rsidRDefault="00F96683" w:rsidP="00414418">
      <w:pPr>
        <w:rPr>
          <w:lang w:val="tr-TR"/>
        </w:rPr>
      </w:pPr>
    </w:p>
    <w:p w14:paraId="67AE7EAD" w14:textId="22024F72" w:rsidR="00F11B8A" w:rsidRPr="004A7CCE" w:rsidRDefault="004A7CCE" w:rsidP="004A7CCE">
      <w:pPr>
        <w:pStyle w:val="1Heading1"/>
        <w:rPr>
          <w:bCs w:val="0"/>
          <w:lang w:val="tr-TR"/>
        </w:rPr>
      </w:pPr>
      <w:r w:rsidRPr="004A7CCE">
        <w:rPr>
          <w:bCs w:val="0"/>
          <w:lang w:val="tr-TR"/>
        </w:rPr>
        <w:t>Ek Kaynaklar</w:t>
      </w:r>
    </w:p>
    <w:p w14:paraId="3FC97091" w14:textId="77777777" w:rsidR="004A7CCE" w:rsidRPr="004A7CCE" w:rsidRDefault="004A7CCE" w:rsidP="004A7CCE">
      <w:pPr>
        <w:widowControl w:val="0"/>
        <w:pBdr>
          <w:top w:val="nil"/>
          <w:left w:val="nil"/>
          <w:bottom w:val="nil"/>
          <w:right w:val="nil"/>
          <w:between w:val="nil"/>
        </w:pBdr>
        <w:spacing w:before="240" w:after="240" w:line="259" w:lineRule="auto"/>
        <w:rPr>
          <w:color w:val="000000"/>
          <w:lang w:val="tr-TR"/>
        </w:rPr>
      </w:pPr>
      <w:hyperlink r:id="rId11">
        <w:r w:rsidRPr="004A7CCE">
          <w:rPr>
            <w:color w:val="0388C5" w:themeColor="accent5"/>
            <w:u w:val="single"/>
            <w:lang w:val="tr-TR"/>
          </w:rPr>
          <w:t>CPHA Yetkinlik Çerçevesi</w:t>
        </w:r>
      </w:hyperlink>
      <w:r w:rsidRPr="004A7CCE">
        <w:rPr>
          <w:color w:val="0388C5" w:themeColor="accent5"/>
          <w:lang w:val="tr-TR"/>
        </w:rPr>
        <w:t xml:space="preserve">, </w:t>
      </w:r>
      <w:r w:rsidRPr="004A7CCE">
        <w:rPr>
          <w:lang w:val="tr-TR"/>
        </w:rPr>
        <w:t xml:space="preserve">İnsani Yardım Faaliyetlerinde Çocuk Koruma İttifakı, 2023 </w:t>
      </w:r>
    </w:p>
    <w:p w14:paraId="4B1BD33D" w14:textId="77777777" w:rsidR="00D556FE" w:rsidRPr="00303757" w:rsidRDefault="00D556FE" w:rsidP="00414418">
      <w:pPr>
        <w:rPr>
          <w:lang w:val="tr-TR"/>
        </w:rPr>
      </w:pPr>
    </w:p>
    <w:sectPr w:rsidR="00D556FE" w:rsidRPr="00303757" w:rsidSect="00F76201">
      <w:headerReference w:type="default" r:id="rId12"/>
      <w:footerReference w:type="even" r:id="rId13"/>
      <w:footerReference w:type="default" r:id="rId14"/>
      <w:pgSz w:w="16838" w:h="11906" w:orient="landscape" w:code="9"/>
      <w:pgMar w:top="1560" w:right="1364"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7D3091" w14:textId="77777777" w:rsidR="00CF343B" w:rsidRDefault="00CF343B" w:rsidP="00414418">
      <w:r>
        <w:separator/>
      </w:r>
    </w:p>
  </w:endnote>
  <w:endnote w:type="continuationSeparator" w:id="0">
    <w:p w14:paraId="777F1E4A" w14:textId="77777777" w:rsidR="00CF343B" w:rsidRDefault="00CF343B" w:rsidP="0041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1441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144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14418">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A1BDC" w14:textId="77777777" w:rsidR="00CF343B" w:rsidRDefault="00CF343B" w:rsidP="00414418">
      <w:r>
        <w:separator/>
      </w:r>
    </w:p>
  </w:footnote>
  <w:footnote w:type="continuationSeparator" w:id="0">
    <w:p w14:paraId="4AE581B3" w14:textId="77777777" w:rsidR="00CF343B" w:rsidRDefault="00CF343B" w:rsidP="00414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14418">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9233A5"/>
    <w:multiLevelType w:val="multilevel"/>
    <w:tmpl w:val="E6A02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F33D3A"/>
    <w:multiLevelType w:val="multilevel"/>
    <w:tmpl w:val="46CA065C"/>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4"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6" w15:restartNumberingAfterBreak="0">
    <w:nsid w:val="34AD05F5"/>
    <w:multiLevelType w:val="multilevel"/>
    <w:tmpl w:val="503A28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3F804699"/>
    <w:multiLevelType w:val="multilevel"/>
    <w:tmpl w:val="246EDDD8"/>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8"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9"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A601B6"/>
    <w:multiLevelType w:val="multilevel"/>
    <w:tmpl w:val="97922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4"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DEC4FB9"/>
    <w:multiLevelType w:val="multilevel"/>
    <w:tmpl w:val="605AF3D8"/>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2"/>
  </w:num>
  <w:num w:numId="8" w16cid:durableId="209920770">
    <w:abstractNumId w:val="8"/>
  </w:num>
  <w:num w:numId="9" w16cid:durableId="1488205232">
    <w:abstractNumId w:val="11"/>
  </w:num>
  <w:num w:numId="10" w16cid:durableId="1967618515">
    <w:abstractNumId w:val="24"/>
  </w:num>
  <w:num w:numId="11" w16cid:durableId="1737974695">
    <w:abstractNumId w:val="12"/>
  </w:num>
  <w:num w:numId="12" w16cid:durableId="778765163">
    <w:abstractNumId w:val="20"/>
  </w:num>
  <w:num w:numId="13" w16cid:durableId="1449592286">
    <w:abstractNumId w:val="7"/>
  </w:num>
  <w:num w:numId="14" w16cid:durableId="603268405">
    <w:abstractNumId w:val="14"/>
  </w:num>
  <w:num w:numId="15" w16cid:durableId="2137290702">
    <w:abstractNumId w:val="23"/>
  </w:num>
  <w:num w:numId="16" w16cid:durableId="265190426">
    <w:abstractNumId w:val="18"/>
  </w:num>
  <w:num w:numId="17" w16cid:durableId="1801337311">
    <w:abstractNumId w:val="9"/>
  </w:num>
  <w:num w:numId="18" w16cid:durableId="1542093204">
    <w:abstractNumId w:val="15"/>
  </w:num>
  <w:num w:numId="19" w16cid:durableId="869688884">
    <w:abstractNumId w:val="10"/>
  </w:num>
  <w:num w:numId="20" w16cid:durableId="1306278755">
    <w:abstractNumId w:val="19"/>
  </w:num>
  <w:num w:numId="21" w16cid:durableId="1546333020">
    <w:abstractNumId w:val="17"/>
  </w:num>
  <w:num w:numId="22" w16cid:durableId="406266155">
    <w:abstractNumId w:val="25"/>
  </w:num>
  <w:num w:numId="23" w16cid:durableId="1913463470">
    <w:abstractNumId w:val="13"/>
  </w:num>
  <w:num w:numId="24" w16cid:durableId="2018652663">
    <w:abstractNumId w:val="16"/>
  </w:num>
  <w:num w:numId="25" w16cid:durableId="158741366">
    <w:abstractNumId w:val="7"/>
  </w:num>
  <w:num w:numId="26" w16cid:durableId="1736858866">
    <w:abstractNumId w:val="7"/>
  </w:num>
  <w:num w:numId="27" w16cid:durableId="1355185685">
    <w:abstractNumId w:val="7"/>
  </w:num>
  <w:num w:numId="28" w16cid:durableId="191920008">
    <w:abstractNumId w:val="23"/>
  </w:num>
  <w:num w:numId="29" w16cid:durableId="1569000923">
    <w:abstractNumId w:val="23"/>
  </w:num>
  <w:num w:numId="30" w16cid:durableId="422773046">
    <w:abstractNumId w:val="9"/>
  </w:num>
  <w:num w:numId="31" w16cid:durableId="1470441204">
    <w:abstractNumId w:val="23"/>
  </w:num>
  <w:num w:numId="32" w16cid:durableId="154222981">
    <w:abstractNumId w:val="9"/>
  </w:num>
  <w:num w:numId="33" w16cid:durableId="1399936291">
    <w:abstractNumId w:val="9"/>
  </w:num>
  <w:num w:numId="34" w16cid:durableId="704058244">
    <w:abstractNumId w:val="9"/>
  </w:num>
  <w:num w:numId="35" w16cid:durableId="660162646">
    <w:abstractNumId w:val="21"/>
  </w:num>
  <w:num w:numId="36" w16cid:durableId="1769304493">
    <w:abstractNumId w:val="6"/>
  </w:num>
  <w:num w:numId="37" w16cid:durableId="2046367078">
    <w:abstractNumId w:val="23"/>
  </w:num>
  <w:num w:numId="38" w16cid:durableId="23366225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56A3"/>
    <w:rsid w:val="00025BEE"/>
    <w:rsid w:val="0003222E"/>
    <w:rsid w:val="00036837"/>
    <w:rsid w:val="00037DF8"/>
    <w:rsid w:val="0004041A"/>
    <w:rsid w:val="00042EFD"/>
    <w:rsid w:val="00043DF4"/>
    <w:rsid w:val="000551C1"/>
    <w:rsid w:val="00066E4E"/>
    <w:rsid w:val="00070047"/>
    <w:rsid w:val="00071860"/>
    <w:rsid w:val="000815D8"/>
    <w:rsid w:val="00082945"/>
    <w:rsid w:val="000856F0"/>
    <w:rsid w:val="00096A42"/>
    <w:rsid w:val="000A1F74"/>
    <w:rsid w:val="000A6D48"/>
    <w:rsid w:val="000B3112"/>
    <w:rsid w:val="000C03A8"/>
    <w:rsid w:val="000C40FD"/>
    <w:rsid w:val="000C544D"/>
    <w:rsid w:val="000D2C9A"/>
    <w:rsid w:val="000E2D08"/>
    <w:rsid w:val="000E567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6F9"/>
    <w:rsid w:val="00126022"/>
    <w:rsid w:val="001262E9"/>
    <w:rsid w:val="00127D71"/>
    <w:rsid w:val="00151C57"/>
    <w:rsid w:val="00165BDB"/>
    <w:rsid w:val="00167184"/>
    <w:rsid w:val="00167E70"/>
    <w:rsid w:val="001715F3"/>
    <w:rsid w:val="00171CFC"/>
    <w:rsid w:val="0017581E"/>
    <w:rsid w:val="0018100B"/>
    <w:rsid w:val="001822CD"/>
    <w:rsid w:val="001949B4"/>
    <w:rsid w:val="00195A6F"/>
    <w:rsid w:val="001A4E51"/>
    <w:rsid w:val="001A5B2E"/>
    <w:rsid w:val="001B459E"/>
    <w:rsid w:val="001C787A"/>
    <w:rsid w:val="001D2890"/>
    <w:rsid w:val="001D3BF0"/>
    <w:rsid w:val="001E0E49"/>
    <w:rsid w:val="001E1507"/>
    <w:rsid w:val="001E7894"/>
    <w:rsid w:val="001F12EA"/>
    <w:rsid w:val="001F3115"/>
    <w:rsid w:val="00200147"/>
    <w:rsid w:val="00200E93"/>
    <w:rsid w:val="00221051"/>
    <w:rsid w:val="00222921"/>
    <w:rsid w:val="0022703F"/>
    <w:rsid w:val="00227177"/>
    <w:rsid w:val="00232D1A"/>
    <w:rsid w:val="002428B6"/>
    <w:rsid w:val="0024593E"/>
    <w:rsid w:val="00257C9A"/>
    <w:rsid w:val="002615E9"/>
    <w:rsid w:val="00261C71"/>
    <w:rsid w:val="002649C8"/>
    <w:rsid w:val="00264B8C"/>
    <w:rsid w:val="00270A09"/>
    <w:rsid w:val="00272DB4"/>
    <w:rsid w:val="00273A0A"/>
    <w:rsid w:val="00274746"/>
    <w:rsid w:val="00283FC8"/>
    <w:rsid w:val="00287000"/>
    <w:rsid w:val="00290E26"/>
    <w:rsid w:val="002A26BD"/>
    <w:rsid w:val="002A4B73"/>
    <w:rsid w:val="002B0B75"/>
    <w:rsid w:val="002B2FB0"/>
    <w:rsid w:val="002B32F2"/>
    <w:rsid w:val="002B4588"/>
    <w:rsid w:val="002B7BB4"/>
    <w:rsid w:val="002C16F2"/>
    <w:rsid w:val="002C18F3"/>
    <w:rsid w:val="002C43F3"/>
    <w:rsid w:val="002C55BC"/>
    <w:rsid w:val="002D3C89"/>
    <w:rsid w:val="002E1C49"/>
    <w:rsid w:val="002E3096"/>
    <w:rsid w:val="002E42B2"/>
    <w:rsid w:val="002F31F0"/>
    <w:rsid w:val="00303757"/>
    <w:rsid w:val="00306D58"/>
    <w:rsid w:val="0031183C"/>
    <w:rsid w:val="0031555B"/>
    <w:rsid w:val="00315FD3"/>
    <w:rsid w:val="00322BDC"/>
    <w:rsid w:val="00332C25"/>
    <w:rsid w:val="0033320B"/>
    <w:rsid w:val="00335E68"/>
    <w:rsid w:val="0033683E"/>
    <w:rsid w:val="00336EDF"/>
    <w:rsid w:val="003452B8"/>
    <w:rsid w:val="0035251E"/>
    <w:rsid w:val="0035522E"/>
    <w:rsid w:val="00361A4C"/>
    <w:rsid w:val="00362AFF"/>
    <w:rsid w:val="00365D7C"/>
    <w:rsid w:val="003742FA"/>
    <w:rsid w:val="00375BF5"/>
    <w:rsid w:val="0038071B"/>
    <w:rsid w:val="00380AD6"/>
    <w:rsid w:val="003812E5"/>
    <w:rsid w:val="00383E42"/>
    <w:rsid w:val="0038590D"/>
    <w:rsid w:val="00390ECC"/>
    <w:rsid w:val="003954E3"/>
    <w:rsid w:val="00395B8B"/>
    <w:rsid w:val="00397DD3"/>
    <w:rsid w:val="003A729C"/>
    <w:rsid w:val="003B184F"/>
    <w:rsid w:val="003B209D"/>
    <w:rsid w:val="003B2E76"/>
    <w:rsid w:val="003C57B2"/>
    <w:rsid w:val="003C637E"/>
    <w:rsid w:val="003C7AFF"/>
    <w:rsid w:val="003D0BF0"/>
    <w:rsid w:val="003D1A61"/>
    <w:rsid w:val="003D684C"/>
    <w:rsid w:val="003E0223"/>
    <w:rsid w:val="003E3C90"/>
    <w:rsid w:val="003F18FE"/>
    <w:rsid w:val="003F5443"/>
    <w:rsid w:val="003F7E98"/>
    <w:rsid w:val="00404A60"/>
    <w:rsid w:val="00405880"/>
    <w:rsid w:val="0041017E"/>
    <w:rsid w:val="00411AF2"/>
    <w:rsid w:val="00414418"/>
    <w:rsid w:val="00431CCD"/>
    <w:rsid w:val="004339B1"/>
    <w:rsid w:val="004361C5"/>
    <w:rsid w:val="0044124C"/>
    <w:rsid w:val="00442077"/>
    <w:rsid w:val="00442CC5"/>
    <w:rsid w:val="00443D9A"/>
    <w:rsid w:val="00461C65"/>
    <w:rsid w:val="0046463A"/>
    <w:rsid w:val="00464ABA"/>
    <w:rsid w:val="0046604C"/>
    <w:rsid w:val="00472B81"/>
    <w:rsid w:val="00481F23"/>
    <w:rsid w:val="004825A4"/>
    <w:rsid w:val="0048645E"/>
    <w:rsid w:val="00493694"/>
    <w:rsid w:val="00496859"/>
    <w:rsid w:val="004A69D8"/>
    <w:rsid w:val="004A7CCE"/>
    <w:rsid w:val="004B2FBC"/>
    <w:rsid w:val="004B3392"/>
    <w:rsid w:val="004C6180"/>
    <w:rsid w:val="004C7B82"/>
    <w:rsid w:val="004D125A"/>
    <w:rsid w:val="004D2441"/>
    <w:rsid w:val="004D2A08"/>
    <w:rsid w:val="004D42B9"/>
    <w:rsid w:val="004D463D"/>
    <w:rsid w:val="004D5499"/>
    <w:rsid w:val="004E4D53"/>
    <w:rsid w:val="004E50CD"/>
    <w:rsid w:val="004E5908"/>
    <w:rsid w:val="004F0AF1"/>
    <w:rsid w:val="004F7CEE"/>
    <w:rsid w:val="00500D53"/>
    <w:rsid w:val="005072D6"/>
    <w:rsid w:val="005136AB"/>
    <w:rsid w:val="00514C65"/>
    <w:rsid w:val="00520DE6"/>
    <w:rsid w:val="00520FF2"/>
    <w:rsid w:val="00522C3E"/>
    <w:rsid w:val="005265F0"/>
    <w:rsid w:val="0055332C"/>
    <w:rsid w:val="0055659B"/>
    <w:rsid w:val="00565C03"/>
    <w:rsid w:val="00566755"/>
    <w:rsid w:val="0057162C"/>
    <w:rsid w:val="00582B20"/>
    <w:rsid w:val="00583EBE"/>
    <w:rsid w:val="00586250"/>
    <w:rsid w:val="00591CD5"/>
    <w:rsid w:val="0059398D"/>
    <w:rsid w:val="005A07DB"/>
    <w:rsid w:val="005A0B92"/>
    <w:rsid w:val="005A41ED"/>
    <w:rsid w:val="005A73AB"/>
    <w:rsid w:val="005B0825"/>
    <w:rsid w:val="005B313E"/>
    <w:rsid w:val="005B638D"/>
    <w:rsid w:val="005C243B"/>
    <w:rsid w:val="005E160D"/>
    <w:rsid w:val="005E16E1"/>
    <w:rsid w:val="005E2B0B"/>
    <w:rsid w:val="005E3A50"/>
    <w:rsid w:val="005E44A4"/>
    <w:rsid w:val="005E6D26"/>
    <w:rsid w:val="005E7F05"/>
    <w:rsid w:val="005F203E"/>
    <w:rsid w:val="005F2378"/>
    <w:rsid w:val="005F39C1"/>
    <w:rsid w:val="005F78C7"/>
    <w:rsid w:val="0060204C"/>
    <w:rsid w:val="0060646B"/>
    <w:rsid w:val="00612D9A"/>
    <w:rsid w:val="006154AB"/>
    <w:rsid w:val="0062330A"/>
    <w:rsid w:val="00625385"/>
    <w:rsid w:val="006269A6"/>
    <w:rsid w:val="0062766C"/>
    <w:rsid w:val="00631B59"/>
    <w:rsid w:val="00636859"/>
    <w:rsid w:val="00642DCD"/>
    <w:rsid w:val="00644903"/>
    <w:rsid w:val="00653019"/>
    <w:rsid w:val="00657E43"/>
    <w:rsid w:val="00670C2B"/>
    <w:rsid w:val="0067105C"/>
    <w:rsid w:val="006815DF"/>
    <w:rsid w:val="00681E1E"/>
    <w:rsid w:val="00683E91"/>
    <w:rsid w:val="00685053"/>
    <w:rsid w:val="0068737E"/>
    <w:rsid w:val="006901CE"/>
    <w:rsid w:val="00693399"/>
    <w:rsid w:val="006A0D14"/>
    <w:rsid w:val="006A6E15"/>
    <w:rsid w:val="006A77BF"/>
    <w:rsid w:val="006B357B"/>
    <w:rsid w:val="006B787E"/>
    <w:rsid w:val="006C6094"/>
    <w:rsid w:val="006C646F"/>
    <w:rsid w:val="006D7B92"/>
    <w:rsid w:val="006F3201"/>
    <w:rsid w:val="006F5E08"/>
    <w:rsid w:val="00702F6B"/>
    <w:rsid w:val="007048D2"/>
    <w:rsid w:val="007056C9"/>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81414"/>
    <w:rsid w:val="0078215B"/>
    <w:rsid w:val="00795AC5"/>
    <w:rsid w:val="00796E2C"/>
    <w:rsid w:val="007A1A42"/>
    <w:rsid w:val="007A2A5B"/>
    <w:rsid w:val="007A52A6"/>
    <w:rsid w:val="007B355F"/>
    <w:rsid w:val="007B51F8"/>
    <w:rsid w:val="007C0D63"/>
    <w:rsid w:val="007C60E5"/>
    <w:rsid w:val="007C6D87"/>
    <w:rsid w:val="007D4390"/>
    <w:rsid w:val="007D5D53"/>
    <w:rsid w:val="007D6403"/>
    <w:rsid w:val="007E0B29"/>
    <w:rsid w:val="007F0134"/>
    <w:rsid w:val="007F0B4D"/>
    <w:rsid w:val="007F281B"/>
    <w:rsid w:val="00802017"/>
    <w:rsid w:val="008021B3"/>
    <w:rsid w:val="00806858"/>
    <w:rsid w:val="00807F81"/>
    <w:rsid w:val="00844299"/>
    <w:rsid w:val="00856CC3"/>
    <w:rsid w:val="00857BA0"/>
    <w:rsid w:val="00862B76"/>
    <w:rsid w:val="00864647"/>
    <w:rsid w:val="00864971"/>
    <w:rsid w:val="0086548E"/>
    <w:rsid w:val="00871A58"/>
    <w:rsid w:val="0087299D"/>
    <w:rsid w:val="00875428"/>
    <w:rsid w:val="008829D9"/>
    <w:rsid w:val="00885F7C"/>
    <w:rsid w:val="00890858"/>
    <w:rsid w:val="00892759"/>
    <w:rsid w:val="00893E48"/>
    <w:rsid w:val="008A1ECF"/>
    <w:rsid w:val="008B039D"/>
    <w:rsid w:val="008B051C"/>
    <w:rsid w:val="008B1735"/>
    <w:rsid w:val="008B462C"/>
    <w:rsid w:val="008B4B3D"/>
    <w:rsid w:val="008C2B38"/>
    <w:rsid w:val="008D06BF"/>
    <w:rsid w:val="008D073D"/>
    <w:rsid w:val="008D3663"/>
    <w:rsid w:val="008F1B5D"/>
    <w:rsid w:val="008F2FAD"/>
    <w:rsid w:val="00901D03"/>
    <w:rsid w:val="00903A62"/>
    <w:rsid w:val="00903D42"/>
    <w:rsid w:val="009136B5"/>
    <w:rsid w:val="00917B82"/>
    <w:rsid w:val="00920D95"/>
    <w:rsid w:val="009262C9"/>
    <w:rsid w:val="00927D93"/>
    <w:rsid w:val="00934A73"/>
    <w:rsid w:val="0093582A"/>
    <w:rsid w:val="00954ABB"/>
    <w:rsid w:val="00955F0D"/>
    <w:rsid w:val="00955FE1"/>
    <w:rsid w:val="009626FF"/>
    <w:rsid w:val="0096534F"/>
    <w:rsid w:val="00972E4E"/>
    <w:rsid w:val="00975D77"/>
    <w:rsid w:val="00985A5C"/>
    <w:rsid w:val="00986AA0"/>
    <w:rsid w:val="00994647"/>
    <w:rsid w:val="00995B3B"/>
    <w:rsid w:val="009A2389"/>
    <w:rsid w:val="009A2600"/>
    <w:rsid w:val="009A4709"/>
    <w:rsid w:val="009A4F3C"/>
    <w:rsid w:val="009B2DE6"/>
    <w:rsid w:val="009C7619"/>
    <w:rsid w:val="009D4400"/>
    <w:rsid w:val="009E2DF3"/>
    <w:rsid w:val="009F0410"/>
    <w:rsid w:val="009F1484"/>
    <w:rsid w:val="009F2223"/>
    <w:rsid w:val="009F38FF"/>
    <w:rsid w:val="009F4CD1"/>
    <w:rsid w:val="009F4F07"/>
    <w:rsid w:val="009F58D9"/>
    <w:rsid w:val="009F5C9B"/>
    <w:rsid w:val="00A000C1"/>
    <w:rsid w:val="00A05555"/>
    <w:rsid w:val="00A22DC4"/>
    <w:rsid w:val="00A341D9"/>
    <w:rsid w:val="00A3621E"/>
    <w:rsid w:val="00A47B94"/>
    <w:rsid w:val="00A54234"/>
    <w:rsid w:val="00A554D4"/>
    <w:rsid w:val="00A55FA7"/>
    <w:rsid w:val="00A5633F"/>
    <w:rsid w:val="00A5708C"/>
    <w:rsid w:val="00A63219"/>
    <w:rsid w:val="00A74731"/>
    <w:rsid w:val="00A80E6A"/>
    <w:rsid w:val="00A80EB3"/>
    <w:rsid w:val="00A8236D"/>
    <w:rsid w:val="00A838A4"/>
    <w:rsid w:val="00A84BBE"/>
    <w:rsid w:val="00A8663C"/>
    <w:rsid w:val="00A903D6"/>
    <w:rsid w:val="00A92CA5"/>
    <w:rsid w:val="00A975BE"/>
    <w:rsid w:val="00AA5928"/>
    <w:rsid w:val="00AB1C5D"/>
    <w:rsid w:val="00AB5714"/>
    <w:rsid w:val="00AC392E"/>
    <w:rsid w:val="00AC4257"/>
    <w:rsid w:val="00AC4DA9"/>
    <w:rsid w:val="00AD45CF"/>
    <w:rsid w:val="00AD6C6D"/>
    <w:rsid w:val="00AE2006"/>
    <w:rsid w:val="00AE3120"/>
    <w:rsid w:val="00AF1F68"/>
    <w:rsid w:val="00B03446"/>
    <w:rsid w:val="00B10652"/>
    <w:rsid w:val="00B11BDB"/>
    <w:rsid w:val="00B16526"/>
    <w:rsid w:val="00B1716F"/>
    <w:rsid w:val="00B1753A"/>
    <w:rsid w:val="00B2036D"/>
    <w:rsid w:val="00B32228"/>
    <w:rsid w:val="00B36314"/>
    <w:rsid w:val="00B464D0"/>
    <w:rsid w:val="00B4785C"/>
    <w:rsid w:val="00B53841"/>
    <w:rsid w:val="00B60C80"/>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4ECB"/>
    <w:rsid w:val="00B96FA2"/>
    <w:rsid w:val="00BA2D17"/>
    <w:rsid w:val="00BA330C"/>
    <w:rsid w:val="00BB499B"/>
    <w:rsid w:val="00BB6AB0"/>
    <w:rsid w:val="00BC3463"/>
    <w:rsid w:val="00BD5FF8"/>
    <w:rsid w:val="00BE0CCA"/>
    <w:rsid w:val="00BE1A5E"/>
    <w:rsid w:val="00BE3942"/>
    <w:rsid w:val="00BF0E95"/>
    <w:rsid w:val="00BF0FE6"/>
    <w:rsid w:val="00BF46B5"/>
    <w:rsid w:val="00BF5183"/>
    <w:rsid w:val="00BF6052"/>
    <w:rsid w:val="00BF76FC"/>
    <w:rsid w:val="00C0084A"/>
    <w:rsid w:val="00C01F3A"/>
    <w:rsid w:val="00C0538F"/>
    <w:rsid w:val="00C147C2"/>
    <w:rsid w:val="00C272A5"/>
    <w:rsid w:val="00C36BCB"/>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08A7"/>
    <w:rsid w:val="00C9183D"/>
    <w:rsid w:val="00C922A4"/>
    <w:rsid w:val="00C92BE5"/>
    <w:rsid w:val="00C96D28"/>
    <w:rsid w:val="00C96D9F"/>
    <w:rsid w:val="00CA47E8"/>
    <w:rsid w:val="00CA5852"/>
    <w:rsid w:val="00CB4F5C"/>
    <w:rsid w:val="00CC21C2"/>
    <w:rsid w:val="00CC5192"/>
    <w:rsid w:val="00CD026E"/>
    <w:rsid w:val="00CD4FAA"/>
    <w:rsid w:val="00CD51C0"/>
    <w:rsid w:val="00CE1C4E"/>
    <w:rsid w:val="00CE316F"/>
    <w:rsid w:val="00CE68EA"/>
    <w:rsid w:val="00CE72ED"/>
    <w:rsid w:val="00CF1376"/>
    <w:rsid w:val="00CF343B"/>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43EF2"/>
    <w:rsid w:val="00D53831"/>
    <w:rsid w:val="00D53F8C"/>
    <w:rsid w:val="00D54152"/>
    <w:rsid w:val="00D556FE"/>
    <w:rsid w:val="00D56360"/>
    <w:rsid w:val="00D82F58"/>
    <w:rsid w:val="00D85A71"/>
    <w:rsid w:val="00D9456F"/>
    <w:rsid w:val="00D95110"/>
    <w:rsid w:val="00DA6DDF"/>
    <w:rsid w:val="00DA75AC"/>
    <w:rsid w:val="00DB318A"/>
    <w:rsid w:val="00DB3372"/>
    <w:rsid w:val="00DB40A1"/>
    <w:rsid w:val="00DC0276"/>
    <w:rsid w:val="00DC1BDA"/>
    <w:rsid w:val="00DC53DB"/>
    <w:rsid w:val="00DD0F5B"/>
    <w:rsid w:val="00DD2883"/>
    <w:rsid w:val="00DD30FA"/>
    <w:rsid w:val="00DE4E6D"/>
    <w:rsid w:val="00DF51B8"/>
    <w:rsid w:val="00DF5CB2"/>
    <w:rsid w:val="00E0506C"/>
    <w:rsid w:val="00E11AE8"/>
    <w:rsid w:val="00E14236"/>
    <w:rsid w:val="00E15B59"/>
    <w:rsid w:val="00E1691E"/>
    <w:rsid w:val="00E234E3"/>
    <w:rsid w:val="00E2352A"/>
    <w:rsid w:val="00E41763"/>
    <w:rsid w:val="00E47570"/>
    <w:rsid w:val="00E54B53"/>
    <w:rsid w:val="00E62A52"/>
    <w:rsid w:val="00E63327"/>
    <w:rsid w:val="00E64495"/>
    <w:rsid w:val="00E6735A"/>
    <w:rsid w:val="00E7075D"/>
    <w:rsid w:val="00E72409"/>
    <w:rsid w:val="00E731BE"/>
    <w:rsid w:val="00E80270"/>
    <w:rsid w:val="00E83B90"/>
    <w:rsid w:val="00E83BF0"/>
    <w:rsid w:val="00E85FBB"/>
    <w:rsid w:val="00E872A5"/>
    <w:rsid w:val="00E909F0"/>
    <w:rsid w:val="00E91860"/>
    <w:rsid w:val="00E91BD2"/>
    <w:rsid w:val="00E936D1"/>
    <w:rsid w:val="00E969B9"/>
    <w:rsid w:val="00EA083D"/>
    <w:rsid w:val="00EA12B8"/>
    <w:rsid w:val="00EA183C"/>
    <w:rsid w:val="00EA28B2"/>
    <w:rsid w:val="00EA3B39"/>
    <w:rsid w:val="00EA546B"/>
    <w:rsid w:val="00EB1CBF"/>
    <w:rsid w:val="00EC0390"/>
    <w:rsid w:val="00EC768B"/>
    <w:rsid w:val="00ED1EA3"/>
    <w:rsid w:val="00ED33C7"/>
    <w:rsid w:val="00EF06A8"/>
    <w:rsid w:val="00EF48B2"/>
    <w:rsid w:val="00F11AEB"/>
    <w:rsid w:val="00F11B8A"/>
    <w:rsid w:val="00F172E9"/>
    <w:rsid w:val="00F174DA"/>
    <w:rsid w:val="00F22D66"/>
    <w:rsid w:val="00F24611"/>
    <w:rsid w:val="00F31A8A"/>
    <w:rsid w:val="00F32A42"/>
    <w:rsid w:val="00F35795"/>
    <w:rsid w:val="00F441F4"/>
    <w:rsid w:val="00F57F57"/>
    <w:rsid w:val="00F60686"/>
    <w:rsid w:val="00F60FCC"/>
    <w:rsid w:val="00F71D9E"/>
    <w:rsid w:val="00F72BAC"/>
    <w:rsid w:val="00F76201"/>
    <w:rsid w:val="00F812CC"/>
    <w:rsid w:val="00F94603"/>
    <w:rsid w:val="00F96683"/>
    <w:rsid w:val="00FA2C56"/>
    <w:rsid w:val="00FB4CB9"/>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414418"/>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414418"/>
    <w:pPr>
      <w:spacing w:after="100" w:afterAutospacing="1" w:line="240" w:lineRule="auto"/>
      <w:ind w:left="170"/>
    </w:pPr>
    <w:rPr>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414418"/>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4825A4"/>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liancecpha.org/sites/default/files/technical/attachments/CPHA%20Competency%20Framework_English_0.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lliancecpha.org/en/child-protection-online-library/guidance-child-protection-humanitarian-action-competency-framework" TargetMode="External"/><Relationship Id="rId4" Type="http://schemas.openxmlformats.org/officeDocument/2006/relationships/settings" Target="settings.xml"/><Relationship Id="rId9" Type="http://schemas.openxmlformats.org/officeDocument/2006/relationships/hyperlink" Target="https://alliancecpha.org/en/child-protection-online-library/guidance-child-protection-humanitarian-action-competency-framework"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1494</Words>
  <Characters>8517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23</cp:revision>
  <dcterms:created xsi:type="dcterms:W3CDTF">2024-08-23T12:39:00Z</dcterms:created>
  <dcterms:modified xsi:type="dcterms:W3CDTF">2024-08-23T12:52:00Z</dcterms:modified>
</cp:coreProperties>
</file>