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10240" w:rsidRDefault="00000000">
      <w:pPr>
        <w:pBdr>
          <w:top w:val="nil"/>
          <w:left w:val="nil"/>
          <w:bottom w:val="nil"/>
          <w:right w:val="nil"/>
          <w:between w:val="nil"/>
        </w:pBdr>
        <w:spacing w:after="200" w:line="240" w:lineRule="auto"/>
        <w:ind w:left="360"/>
        <w:jc w:val="center"/>
        <w:rPr>
          <w:rFonts w:ascii="Times New Roman" w:eastAsia="Times New Roman" w:hAnsi="Times New Roman" w:cs="Times New Roman"/>
          <w:color w:val="000000"/>
          <w:sz w:val="24"/>
          <w:szCs w:val="24"/>
        </w:rPr>
      </w:pPr>
      <w:r>
        <w:rPr>
          <w:b/>
          <w:color w:val="000000"/>
          <w:sz w:val="36"/>
        </w:rPr>
        <w:t>Abari Kalkınma Fonu (ADF)</w:t>
      </w:r>
    </w:p>
    <w:p w14:paraId="00000002" w14:textId="77777777" w:rsidR="00310240"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b/>
          <w:i/>
          <w:color w:val="000000"/>
        </w:rPr>
        <w:t xml:space="preserve">Misyon: </w:t>
      </w:r>
      <w:r>
        <w:rPr>
          <w:i/>
          <w:color w:val="000000"/>
        </w:rPr>
        <w:t>Abari nüfusunun</w:t>
      </w:r>
      <w:r>
        <w:rPr>
          <w:i/>
        </w:rPr>
        <w:t xml:space="preserve"> sağlık, eğitim ve korunma gibi insani ihtiyaçlara </w:t>
      </w:r>
      <w:r>
        <w:rPr>
          <w:i/>
          <w:color w:val="000000"/>
        </w:rPr>
        <w:t>erişimini sağlamak</w:t>
      </w:r>
    </w:p>
    <w:p w14:paraId="00000003" w14:textId="77777777" w:rsidR="00310240" w:rsidRDefault="0000000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b/>
          <w:color w:val="000000"/>
        </w:rPr>
        <w:t xml:space="preserve">ADF Programlarının Tarihçesi </w:t>
      </w:r>
    </w:p>
    <w:p w14:paraId="00000004" w14:textId="77777777" w:rsidR="00310240" w:rsidRDefault="00000000">
      <w:pPr>
        <w:pBdr>
          <w:top w:val="nil"/>
          <w:left w:val="nil"/>
          <w:bottom w:val="nil"/>
          <w:right w:val="nil"/>
          <w:between w:val="nil"/>
        </w:pBdr>
        <w:spacing w:after="200" w:line="240" w:lineRule="auto"/>
        <w:jc w:val="both"/>
        <w:rPr>
          <w:color w:val="000000"/>
        </w:rPr>
      </w:pPr>
      <w:r>
        <w:rPr>
          <w:color w:val="000000"/>
        </w:rPr>
        <w:t xml:space="preserve">Abari Kalkınma Fonu </w:t>
      </w:r>
      <w:r>
        <w:t>,</w:t>
      </w:r>
      <w:r>
        <w:rPr>
          <w:color w:val="000000"/>
        </w:rPr>
        <w:t xml:space="preserve"> 2000 yılından bu yana Abari Hükumetine kayıtlı</w:t>
      </w:r>
      <w:r>
        <w:t xml:space="preserve"> olan, kar amacı gütmeyen bir kuruluştur.</w:t>
      </w:r>
      <w:r>
        <w:rPr>
          <w:color w:val="000000"/>
        </w:rPr>
        <w:t xml:space="preserve"> ADFSürdürülebilir Kalkınma Hedeflerinin Sağlıkla ilgili 3. HEDEFİ üzerinde çalışmaya yönelik güçlü bir taahhüt ile şu kaynaklarla finanse edilmiştir: </w:t>
      </w:r>
      <w:r>
        <w:rPr>
          <w:rFonts w:ascii="Oswald" w:hAnsi="Oswald"/>
          <w:b/>
          <w:color w:val="FFFFFF"/>
        </w:rPr>
        <w:t xml:space="preserve"> </w:t>
      </w:r>
      <w:r>
        <w:rPr>
          <w:color w:val="000000"/>
        </w:rPr>
        <w:t>Her yaştaki herkes için sağlıklı yaşamlar sağlamak ve refahı teşvik etmek.</w:t>
      </w:r>
    </w:p>
    <w:p w14:paraId="00000005" w14:textId="069788FB" w:rsidR="00310240" w:rsidRDefault="00000000">
      <w:pPr>
        <w:pBdr>
          <w:top w:val="nil"/>
          <w:left w:val="nil"/>
          <w:bottom w:val="nil"/>
          <w:right w:val="nil"/>
          <w:between w:val="nil"/>
        </w:pBdr>
        <w:spacing w:after="200" w:line="240" w:lineRule="auto"/>
        <w:jc w:val="both"/>
        <w:rPr>
          <w:color w:val="000000"/>
        </w:rPr>
      </w:pPr>
      <w:r>
        <w:t xml:space="preserve">Asıl olarak </w:t>
      </w:r>
      <w:r>
        <w:rPr>
          <w:color w:val="000000"/>
        </w:rPr>
        <w:t xml:space="preserve">ADF </w:t>
      </w:r>
      <w:r>
        <w:t>programları</w:t>
      </w:r>
      <w:r>
        <w:rPr>
          <w:color w:val="000000"/>
        </w:rPr>
        <w:t xml:space="preserve"> mevcut sağlık tesislerindeki hizmetlerin</w:t>
      </w:r>
      <w:r>
        <w:t xml:space="preserve"> genişletilmesine ve </w:t>
      </w:r>
      <w:r>
        <w:rPr>
          <w:color w:val="000000"/>
        </w:rPr>
        <w:t xml:space="preserve">eğitim ve temel yeni doğan bakım ekipmanı sağlayarak, </w:t>
      </w:r>
      <w:r w:rsidR="00525B1F">
        <w:rPr>
          <w:color w:val="000000"/>
        </w:rPr>
        <w:t>uzak</w:t>
      </w:r>
      <w:r>
        <w:rPr>
          <w:color w:val="000000"/>
        </w:rPr>
        <w:t xml:space="preserve"> bölgelere gezici sağlık ekipleri göndererek ve uzmanlaşmış doğum 'bekleme evleri ve odalarını' destekleyerek uzak köylerdeki anne ve çocuklara ulaşmaya odaklanmıştır.</w:t>
      </w:r>
    </w:p>
    <w:p w14:paraId="00000006" w14:textId="77777777" w:rsidR="00310240" w:rsidRDefault="00000000">
      <w:pPr>
        <w:pBdr>
          <w:top w:val="nil"/>
          <w:left w:val="nil"/>
          <w:bottom w:val="nil"/>
          <w:right w:val="nil"/>
          <w:between w:val="nil"/>
        </w:pBdr>
        <w:spacing w:after="200" w:line="240" w:lineRule="auto"/>
        <w:jc w:val="both"/>
        <w:rPr>
          <w:color w:val="000000"/>
        </w:rPr>
      </w:pPr>
      <w:r>
        <w:rPr>
          <w:highlight w:val="white"/>
        </w:rPr>
        <w:t xml:space="preserve">2010 yılından bu yana uyguladığı program eğitim programlarını da içerecek şekilde genişlemiştir. </w:t>
      </w:r>
      <w:r>
        <w:rPr>
          <w:color w:val="000000"/>
          <w:highlight w:val="white"/>
        </w:rPr>
        <w:t>ADF, eğitim programları aracılığıyla en kırılgan durumdaki çocukların, özellikle de okula devam edemeyen çocukların ve kız çocuklarının okula kaydolmasına ve okula devam etmesine odaklanmaktadır.</w:t>
      </w:r>
      <w:r>
        <w:rPr>
          <w:highlight w:val="white"/>
        </w:rPr>
        <w:t xml:space="preserve"> ADF,</w:t>
      </w:r>
      <w:r>
        <w:rPr>
          <w:color w:val="000000"/>
          <w:highlight w:val="white"/>
        </w:rPr>
        <w:t xml:space="preserve"> resmi okul sistemini ve hükumetin Topluluk Temelli Eğitim (CBE) programını destekleyerek, her çocuğun yaşadığı topluluğun en fazla üç kilometre uzağında Topluluk Temelli Okullar ve Hızlandırılmış Öğrenme Merkezleri kurmaktadır</w:t>
      </w:r>
      <w:r>
        <w:rPr>
          <w:highlight w:val="white"/>
        </w:rPr>
        <w:t>.</w:t>
      </w:r>
      <w:r>
        <w:rPr>
          <w:color w:val="000000"/>
          <w:highlight w:val="white"/>
        </w:rPr>
        <w:t xml:space="preserve"> Öğrenmeye giden alternatif yolların belirlenmesine ve ulaşılması en zor kesimler için eğitim fırsatlarının artırılmasına yardımcı oluyoruz.</w:t>
      </w:r>
    </w:p>
    <w:p w14:paraId="00000007" w14:textId="77777777" w:rsidR="00310240" w:rsidRDefault="00000000">
      <w:pPr>
        <w:pBdr>
          <w:top w:val="nil"/>
          <w:left w:val="nil"/>
          <w:bottom w:val="nil"/>
          <w:right w:val="nil"/>
          <w:between w:val="nil"/>
        </w:pBdr>
        <w:spacing w:after="200" w:line="240" w:lineRule="auto"/>
        <w:jc w:val="both"/>
        <w:rPr>
          <w:color w:val="000000"/>
        </w:rPr>
      </w:pPr>
      <w:r>
        <w:rPr>
          <w:color w:val="000000"/>
        </w:rPr>
        <w:t xml:space="preserve">ADF programlaması </w:t>
      </w:r>
      <w:r>
        <w:t xml:space="preserve">, </w:t>
      </w:r>
      <w:r>
        <w:rPr>
          <w:color w:val="000000"/>
        </w:rPr>
        <w:t>toplum ağlarının kapasitesini</w:t>
      </w:r>
      <w:r>
        <w:t xml:space="preserve"> güçlendiren </w:t>
      </w:r>
      <w:r>
        <w:rPr>
          <w:color w:val="000000"/>
        </w:rPr>
        <w:t>ve bu ağlar aracılığıyla çalışan</w:t>
      </w:r>
      <w:r>
        <w:t xml:space="preserve"> topluluk temelli bir yaklaşıma değer vermektedir.</w:t>
      </w:r>
      <w:r>
        <w:rPr>
          <w:color w:val="000000"/>
        </w:rPr>
        <w:t xml:space="preserve"> </w:t>
      </w:r>
    </w:p>
    <w:p w14:paraId="00000008" w14:textId="77777777" w:rsidR="00310240" w:rsidRDefault="00000000">
      <w:pPr>
        <w:pBdr>
          <w:top w:val="nil"/>
          <w:left w:val="nil"/>
          <w:bottom w:val="nil"/>
          <w:right w:val="nil"/>
          <w:between w:val="nil"/>
        </w:pBdr>
        <w:spacing w:after="200" w:line="240" w:lineRule="auto"/>
        <w:jc w:val="both"/>
      </w:pPr>
      <w:r>
        <w:t xml:space="preserve">Yakın zamanda ADF, çocuklar için bütüncül sonuçlar sağlamak için gerekli olduğu görüldüğünden, programlamasını insani yardım faaliyetlerinde çocuk koruma alanına genişletmeye karar vermiştir. </w:t>
      </w:r>
    </w:p>
    <w:p w14:paraId="00000009" w14:textId="77777777" w:rsidR="00310240" w:rsidRDefault="0000000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b/>
          <w:color w:val="000000"/>
        </w:rPr>
        <w:t>Ofisler</w:t>
      </w:r>
    </w:p>
    <w:p w14:paraId="0000000A" w14:textId="77777777" w:rsidR="00310240"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color w:val="000000"/>
        </w:rPr>
        <w:t>ADF'nın Abari City'de küçük bir merkez ofisi ve Dethreea ve Detua Eyaletlerinde iki alt ofisi bulunmaktadır.</w:t>
      </w:r>
    </w:p>
    <w:p w14:paraId="0000000B" w14:textId="77777777" w:rsidR="00310240" w:rsidRDefault="00310240"/>
    <w:p w14:paraId="0000000C" w14:textId="77777777" w:rsidR="00310240" w:rsidRDefault="00000000">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Pr>
          <w:b/>
          <w:color w:val="000000"/>
          <w:sz w:val="36"/>
        </w:rPr>
        <w:t>Abari için Gelecek (F4A)</w:t>
      </w:r>
    </w:p>
    <w:p w14:paraId="0000000D" w14:textId="77777777" w:rsidR="00310240" w:rsidRDefault="00310240">
      <w:pPr>
        <w:pBdr>
          <w:top w:val="nil"/>
          <w:left w:val="nil"/>
          <w:bottom w:val="nil"/>
          <w:right w:val="nil"/>
          <w:between w:val="nil"/>
        </w:pBdr>
        <w:spacing w:after="200" w:line="240" w:lineRule="auto"/>
        <w:jc w:val="both"/>
        <w:rPr>
          <w:b/>
          <w:i/>
          <w:color w:val="000000"/>
        </w:rPr>
      </w:pPr>
    </w:p>
    <w:p w14:paraId="0000000E" w14:textId="77777777" w:rsidR="00310240"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rPr>
      </w:pPr>
      <w:r>
        <w:rPr>
          <w:b/>
          <w:i/>
          <w:color w:val="000000"/>
        </w:rPr>
        <w:t xml:space="preserve">Misyon: </w:t>
      </w:r>
      <w:r>
        <w:rPr>
          <w:i/>
          <w:color w:val="000000"/>
        </w:rPr>
        <w:t>Afet ve acil durum bağlamlarında sürdürülebilir, topluluk liderliğinde</w:t>
      </w:r>
      <w:r>
        <w:rPr>
          <w:i/>
        </w:rPr>
        <w:t xml:space="preserve"> </w:t>
      </w:r>
      <w:r>
        <w:rPr>
          <w:i/>
          <w:color w:val="000000"/>
        </w:rPr>
        <w:t>çözümler üreterek Abarililerin geleceklerini korumak.</w:t>
      </w:r>
    </w:p>
    <w:p w14:paraId="0000000F" w14:textId="77777777" w:rsidR="00310240"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rPr>
      </w:pPr>
      <w:r>
        <w:rPr>
          <w:b/>
          <w:color w:val="000000"/>
        </w:rPr>
        <w:t xml:space="preserve">F4A programlamanın tarihçesi </w:t>
      </w:r>
    </w:p>
    <w:p w14:paraId="00000010" w14:textId="77777777" w:rsidR="00310240" w:rsidRDefault="00000000">
      <w:pPr>
        <w:pBdr>
          <w:top w:val="nil"/>
          <w:left w:val="nil"/>
          <w:bottom w:val="nil"/>
          <w:right w:val="nil"/>
          <w:between w:val="nil"/>
        </w:pBdr>
        <w:spacing w:after="200" w:line="240" w:lineRule="auto"/>
        <w:jc w:val="both"/>
        <w:rPr>
          <w:color w:val="000000"/>
        </w:rPr>
      </w:pPr>
      <w:r>
        <w:rPr>
          <w:color w:val="000000"/>
        </w:rPr>
        <w:t>F4</w:t>
      </w:r>
      <w:r>
        <w:t>A</w:t>
      </w:r>
      <w:r>
        <w:rPr>
          <w:color w:val="000000"/>
        </w:rPr>
        <w:t>, 2005 yılından bu</w:t>
      </w:r>
      <w:r>
        <w:t xml:space="preserve"> </w:t>
      </w:r>
      <w:r>
        <w:rPr>
          <w:color w:val="000000"/>
        </w:rPr>
        <w:t>yana Abari Hükumetine</w:t>
      </w:r>
      <w:r>
        <w:t xml:space="preserve"> kayıtlı, </w:t>
      </w:r>
      <w:r>
        <w:rPr>
          <w:color w:val="000000"/>
        </w:rPr>
        <w:t>kar amacı gütmeyen bir kuruluştur</w:t>
      </w:r>
      <w:r>
        <w:t>.</w:t>
      </w:r>
      <w:r>
        <w:rPr>
          <w:color w:val="000000"/>
        </w:rPr>
        <w:t xml:space="preserve">  F4A </w:t>
      </w:r>
      <w:r>
        <w:t xml:space="preserve">, HEDEF 6'nın </w:t>
      </w:r>
      <w:r>
        <w:rPr>
          <w:color w:val="000000"/>
        </w:rPr>
        <w:t xml:space="preserve">Sürdürülebilir Kalkınma Hedeflerinin su ve sıhhi sistemleri üzerinde çalışmaya yönelik güçlü bir taahhüt ile kurulmuştur: Herkes için su ve sıhhi sistemlerin mevcudiyetinin ve sürdürülebilir yönetiminin sağlanması. </w:t>
      </w:r>
    </w:p>
    <w:p w14:paraId="00000011" w14:textId="77777777" w:rsidR="00310240" w:rsidRDefault="00000000">
      <w:pPr>
        <w:pBdr>
          <w:top w:val="nil"/>
          <w:left w:val="nil"/>
          <w:bottom w:val="nil"/>
          <w:right w:val="nil"/>
          <w:between w:val="nil"/>
        </w:pBdr>
        <w:spacing w:after="200" w:line="240" w:lineRule="auto"/>
        <w:jc w:val="both"/>
        <w:rPr>
          <w:color w:val="000000"/>
        </w:rPr>
      </w:pPr>
      <w:r>
        <w:rPr>
          <w:color w:val="000000"/>
        </w:rPr>
        <w:t>F4</w:t>
      </w:r>
      <w:r>
        <w:t>A,</w:t>
      </w:r>
      <w:r>
        <w:rPr>
          <w:color w:val="000000"/>
        </w:rPr>
        <w:t xml:space="preserve"> Dethreea ve Detua eyaletlerinin uzak bölgelerinde</w:t>
      </w:r>
      <w:r>
        <w:rPr>
          <w:b/>
          <w:color w:val="000000"/>
        </w:rPr>
        <w:t xml:space="preserve"> </w:t>
      </w:r>
      <w:r>
        <w:rPr>
          <w:color w:val="000000"/>
        </w:rPr>
        <w:t>suya erişim sağlamak için çalışmış, su toplama sistemleri kurmuş, altyapıları ve su tedarik noktalarını restore etmiş veya yeniden inşa etmiş, verimli sulama sistemleri kurmuş ve özel ve kamu binalarının çatılarından yağmur suyu toplamak üzere sistemler kurmuştur</w:t>
      </w:r>
      <w:r>
        <w:t>.</w:t>
      </w:r>
      <w:r>
        <w:rPr>
          <w:color w:val="000000"/>
        </w:rPr>
        <w:t xml:space="preserve"> F4A, evsel arıtma sistemleri ve güvenli depolama, suyla ilişkili hastalıkların </w:t>
      </w:r>
      <w:r>
        <w:rPr>
          <w:color w:val="000000"/>
        </w:rPr>
        <w:lastRenderedPageBreak/>
        <w:t xml:space="preserve">bulaşmasından kaynaklanan riskler konusunda topluluklarda farkındalık yaratma faaliyetlerini teşvik eder ve kaynağın yönetimi konusunda ortaya çıkabilecek potansiyel çatışmalarda arabuluculuğu destekler. </w:t>
      </w:r>
    </w:p>
    <w:p w14:paraId="00000012" w14:textId="77777777" w:rsidR="00310240" w:rsidRDefault="00000000">
      <w:pPr>
        <w:pBdr>
          <w:top w:val="nil"/>
          <w:left w:val="nil"/>
          <w:bottom w:val="nil"/>
          <w:right w:val="nil"/>
          <w:between w:val="nil"/>
        </w:pBdr>
        <w:spacing w:after="200" w:line="240" w:lineRule="auto"/>
        <w:jc w:val="both"/>
        <w:rPr>
          <w:color w:val="000000"/>
        </w:rPr>
      </w:pPr>
      <w:r>
        <w:t xml:space="preserve">2021 yılından bu yana </w:t>
      </w:r>
      <w:r>
        <w:rPr>
          <w:color w:val="000000"/>
        </w:rPr>
        <w:t>F4C</w:t>
      </w:r>
      <w:r>
        <w:t xml:space="preserve">, </w:t>
      </w:r>
      <w:r>
        <w:rPr>
          <w:color w:val="000000"/>
        </w:rPr>
        <w:t xml:space="preserve"> kentsel ve kırsal bağlamlarda 6-12 yaş arası olup okula devam etmeyen çocukları</w:t>
      </w:r>
      <w:r>
        <w:t xml:space="preserve"> destekleyerek eğitim programlamasına başlamıştır ve şimdi de odağını çocuklar için bütünsel koruma sonuçları elde etmeye kaydırmakla ilgilenmektedir. Bu nedenle, eğitim programlarının genişletilmesi ve çocuk koruma programlarının oluşturulması için finansman fırsatlarını araştırmaktadır. </w:t>
      </w:r>
    </w:p>
    <w:p w14:paraId="00000013" w14:textId="77777777" w:rsidR="00310240" w:rsidRDefault="0000000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b/>
          <w:color w:val="000000"/>
        </w:rPr>
        <w:t>Ofisler</w:t>
      </w:r>
    </w:p>
    <w:p w14:paraId="00000014" w14:textId="77777777" w:rsidR="00310240"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color w:val="000000"/>
        </w:rPr>
        <w:t>Organizasyonun Abari City'de bir merkez ofisi ve Dethreea ve Detua Eyaletlerinde alt ofisleri bulunmaktadır.   </w:t>
      </w:r>
    </w:p>
    <w:p w14:paraId="00000015" w14:textId="77777777" w:rsidR="00310240" w:rsidRDefault="00310240"/>
    <w:p w14:paraId="00000016" w14:textId="77777777" w:rsidR="00310240" w:rsidRDefault="00000000">
      <w:pPr>
        <w:spacing w:after="200" w:line="240" w:lineRule="auto"/>
        <w:jc w:val="center"/>
        <w:rPr>
          <w:rFonts w:ascii="Times New Roman" w:eastAsia="Times New Roman" w:hAnsi="Times New Roman" w:cs="Times New Roman"/>
          <w:sz w:val="24"/>
          <w:szCs w:val="24"/>
        </w:rPr>
      </w:pPr>
      <w:r>
        <w:rPr>
          <w:b/>
          <w:color w:val="000000"/>
          <w:sz w:val="36"/>
        </w:rPr>
        <w:t>Kurtarma Konseyi Abari (RCA)</w:t>
      </w:r>
    </w:p>
    <w:p w14:paraId="00000017" w14:textId="77777777" w:rsidR="00310240" w:rsidRDefault="00000000">
      <w:pPr>
        <w:spacing w:after="200" w:line="240" w:lineRule="auto"/>
        <w:jc w:val="both"/>
        <w:rPr>
          <w:rFonts w:ascii="Times New Roman" w:eastAsia="Times New Roman" w:hAnsi="Times New Roman" w:cs="Times New Roman"/>
          <w:sz w:val="24"/>
          <w:szCs w:val="24"/>
        </w:rPr>
      </w:pPr>
      <w:r>
        <w:rPr>
          <w:b/>
          <w:i/>
          <w:color w:val="000000"/>
        </w:rPr>
        <w:t xml:space="preserve">Misyon: </w:t>
      </w:r>
      <w:r>
        <w:rPr>
          <w:i/>
          <w:color w:val="000000"/>
        </w:rPr>
        <w:t>Tüm Abarililerin hayatta kalmasını ve gelişmesini sağlamak</w:t>
      </w:r>
      <w:r>
        <w:rPr>
          <w:i/>
          <w:color w:val="3C3C3C"/>
        </w:rPr>
        <w:t xml:space="preserve">, </w:t>
      </w:r>
      <w:r>
        <w:rPr>
          <w:i/>
          <w:color w:val="000000"/>
        </w:rPr>
        <w:t>ve topluluklarına kalıcı bir katkıda bulunmak.</w:t>
      </w:r>
    </w:p>
    <w:p w14:paraId="00000018" w14:textId="77777777" w:rsidR="00310240" w:rsidRDefault="00000000">
      <w:pPr>
        <w:spacing w:after="120" w:line="240" w:lineRule="auto"/>
        <w:jc w:val="both"/>
        <w:rPr>
          <w:rFonts w:ascii="Times New Roman" w:eastAsia="Times New Roman" w:hAnsi="Times New Roman" w:cs="Times New Roman"/>
          <w:sz w:val="24"/>
          <w:szCs w:val="24"/>
        </w:rPr>
      </w:pPr>
      <w:r>
        <w:rPr>
          <w:b/>
          <w:color w:val="000000"/>
        </w:rPr>
        <w:t>RCA Programlamanın Tarihçesi</w:t>
      </w:r>
    </w:p>
    <w:p w14:paraId="00000019" w14:textId="77777777" w:rsidR="00310240" w:rsidRDefault="00000000">
      <w:pPr>
        <w:spacing w:after="200" w:line="240" w:lineRule="auto"/>
        <w:jc w:val="both"/>
        <w:rPr>
          <w:color w:val="000000"/>
        </w:rPr>
      </w:pPr>
      <w:bookmarkStart w:id="0" w:name="_heading=h.gjdgxs"/>
      <w:bookmarkEnd w:id="0"/>
      <w:r>
        <w:rPr>
          <w:color w:val="000000"/>
        </w:rPr>
        <w:t xml:space="preserve">RCA </w:t>
      </w:r>
      <w:r>
        <w:t>,</w:t>
      </w:r>
      <w:r>
        <w:rPr>
          <w:color w:val="000000"/>
        </w:rPr>
        <w:t xml:space="preserve"> 1998 yılından bu yana Abari Hükumetine kayıtlı</w:t>
      </w:r>
      <w:r>
        <w:t>, kar amacı gütmeyen bir organizasyondur.</w:t>
      </w:r>
      <w:r>
        <w:rPr>
          <w:color w:val="000000"/>
        </w:rPr>
        <w:t xml:space="preserve"> RCA programlaması, topluluk temelli bir yaklaşım </w:t>
      </w:r>
      <w:r>
        <w:t xml:space="preserve">benimseyerek, </w:t>
      </w:r>
      <w:r>
        <w:rPr>
          <w:color w:val="000000"/>
        </w:rPr>
        <w:t>kırılganlıklarını azaltmak için topluluk ağlarının sahip olduğu kapasiteleri güçlendirir ve bu ağlar aracılığıyla çalışır</w:t>
      </w:r>
      <w:r>
        <w:t>.</w:t>
      </w:r>
      <w:r>
        <w:rPr>
          <w:color w:val="000000"/>
        </w:rPr>
        <w:t xml:space="preserve"> </w:t>
      </w:r>
      <w:r>
        <w:t>RCA</w:t>
      </w:r>
      <w:r>
        <w:rPr>
          <w:color w:val="000000"/>
        </w:rPr>
        <w:t xml:space="preserve"> </w:t>
      </w:r>
      <w:r>
        <w:t xml:space="preserve">başlangıçta </w:t>
      </w:r>
      <w:r>
        <w:rPr>
          <w:color w:val="000000"/>
        </w:rPr>
        <w:t xml:space="preserve">Sürdürülebilir Kalkınma Hedeflerinin kaliteli eğitime ilişkin HEDEF 4'ü üzerinde çalışmaya yönelik güçlü bir taahhütte bulunmuştur: Herkes için kaliteli ve kapsayıcı eğitimin sağlanması ve yaşam boyu öğrenmenin teşvik edilmesi. </w:t>
      </w:r>
    </w:p>
    <w:p w14:paraId="0000001A" w14:textId="77777777" w:rsidR="00310240" w:rsidRDefault="00000000">
      <w:pPr>
        <w:pBdr>
          <w:top w:val="nil"/>
          <w:left w:val="nil"/>
          <w:bottom w:val="nil"/>
          <w:right w:val="nil"/>
          <w:between w:val="nil"/>
        </w:pBdr>
        <w:spacing w:after="200" w:line="240" w:lineRule="auto"/>
        <w:jc w:val="both"/>
      </w:pPr>
      <w:bookmarkStart w:id="1" w:name="_heading=h.ygkbnqbki1wg"/>
      <w:bookmarkEnd w:id="1"/>
      <w:r>
        <w:t xml:space="preserve">2018 yılına kadar; ülke genelinde toplam 1.083 ilkokul yenilenmiş, 155 ilave tuvalet inşa edilmiş ve 126 okulda güvenli içme suyu tesisi sağlamak üzere çalışmalar yapılmıştır. 1. ile 3. sınıflar arasındaki çocukların okuryazarlık ve aritmetik becerilerini geliştirmek için Boost yaklaşımları uygulanmaktadır. Bu program, özellikle Dethreea Eyaletinde temel okuryazarlık ve aritmetik öğrenimindeki eksikliklere dair artan kanıtlara müdahale olarak geliştirilmiştir. RCA ayrıca, fiziksel engelli ve özel ihtiyaçları olan kız çocuklarına özel bir önem vererek, dokuz ile on sekiz yaş arasında olup okula devam etmeyen kız çocuklarının eğitim ihtiyaçlarını karşılamak üzere tasarlanmış bir Kızlar için Hızlandırılmış Öğrenme (ALG) projesi (2018-2021) yürütmektedir. </w:t>
      </w:r>
    </w:p>
    <w:p w14:paraId="0000001B" w14:textId="77777777" w:rsidR="00310240" w:rsidRDefault="00000000">
      <w:pPr>
        <w:spacing w:after="200" w:line="240" w:lineRule="auto"/>
        <w:jc w:val="both"/>
      </w:pPr>
      <w:r>
        <w:t xml:space="preserve">Yakın zamanda RCA, çocuklar için gerçekten bütüncül koruma sonuçları sağlayabilmek amacıyla programlamasını insani yardım faaliyetlerinde çocuk koruma alanına genişletmeye karar vermiştir. </w:t>
      </w:r>
    </w:p>
    <w:p w14:paraId="0000001C" w14:textId="77777777" w:rsidR="00310240" w:rsidRDefault="00000000">
      <w:pPr>
        <w:spacing w:after="120" w:line="240" w:lineRule="auto"/>
        <w:jc w:val="both"/>
        <w:rPr>
          <w:rFonts w:ascii="Times New Roman" w:eastAsia="Times New Roman" w:hAnsi="Times New Roman" w:cs="Times New Roman"/>
          <w:sz w:val="24"/>
          <w:szCs w:val="24"/>
        </w:rPr>
      </w:pPr>
      <w:r>
        <w:rPr>
          <w:b/>
          <w:color w:val="000000"/>
        </w:rPr>
        <w:t>Ofisler</w:t>
      </w:r>
    </w:p>
    <w:p w14:paraId="0000001D" w14:textId="77777777" w:rsidR="00310240"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color w:val="000000"/>
        </w:rPr>
        <w:t>Organizasyonun Abari City'de bir merkez ofisi ve Dethreea, Detua ve Abari Eyaletlerinde alt ofisleri bulunmaktadır.   </w:t>
      </w:r>
    </w:p>
    <w:p w14:paraId="0000001E" w14:textId="77777777" w:rsidR="00310240" w:rsidRDefault="00310240"/>
    <w:p w14:paraId="0000001F" w14:textId="77777777" w:rsidR="00310240" w:rsidRDefault="00000000">
      <w:pPr>
        <w:spacing w:after="200" w:line="240" w:lineRule="auto"/>
        <w:jc w:val="center"/>
        <w:rPr>
          <w:rFonts w:ascii="Times New Roman" w:eastAsia="Times New Roman" w:hAnsi="Times New Roman" w:cs="Times New Roman"/>
          <w:sz w:val="24"/>
          <w:szCs w:val="24"/>
        </w:rPr>
      </w:pPr>
      <w:r>
        <w:rPr>
          <w:b/>
          <w:color w:val="000000"/>
          <w:sz w:val="36"/>
        </w:rPr>
        <w:t xml:space="preserve">Krize Müdahale Abari (CRA) </w:t>
      </w:r>
    </w:p>
    <w:p w14:paraId="00000020" w14:textId="77777777" w:rsidR="00310240" w:rsidRDefault="00000000">
      <w:pPr>
        <w:spacing w:after="200" w:line="240" w:lineRule="auto"/>
        <w:jc w:val="both"/>
        <w:rPr>
          <w:rFonts w:ascii="Times New Roman" w:eastAsia="Times New Roman" w:hAnsi="Times New Roman" w:cs="Times New Roman"/>
          <w:sz w:val="24"/>
          <w:szCs w:val="24"/>
        </w:rPr>
      </w:pPr>
      <w:r>
        <w:rPr>
          <w:b/>
          <w:i/>
          <w:color w:val="000000"/>
        </w:rPr>
        <w:t xml:space="preserve">Misyon: </w:t>
      </w:r>
      <w:r>
        <w:rPr>
          <w:i/>
          <w:color w:val="000000"/>
        </w:rPr>
        <w:t>Bireysel, toplumsal ve ulusal düzeyde kırılganlığın altında yatan nedenlerin ele alınmasına katkıda bulunarak daha eşit bir Abari için çalışmak.</w:t>
      </w:r>
    </w:p>
    <w:p w14:paraId="00000021" w14:textId="77777777" w:rsidR="00310240" w:rsidRDefault="00000000">
      <w:pPr>
        <w:spacing w:after="120" w:line="240" w:lineRule="auto"/>
        <w:jc w:val="both"/>
        <w:rPr>
          <w:rFonts w:ascii="Times New Roman" w:eastAsia="Times New Roman" w:hAnsi="Times New Roman" w:cs="Times New Roman"/>
          <w:sz w:val="24"/>
          <w:szCs w:val="24"/>
        </w:rPr>
      </w:pPr>
      <w:r>
        <w:rPr>
          <w:b/>
          <w:color w:val="000000"/>
        </w:rPr>
        <w:lastRenderedPageBreak/>
        <w:t xml:space="preserve">CRA Programlamanın Tarihçesi </w:t>
      </w:r>
    </w:p>
    <w:p w14:paraId="00000022" w14:textId="77777777" w:rsidR="00310240" w:rsidRDefault="00000000">
      <w:pPr>
        <w:spacing w:after="200" w:line="240" w:lineRule="auto"/>
        <w:jc w:val="both"/>
        <w:rPr>
          <w:color w:val="000000"/>
        </w:rPr>
      </w:pPr>
      <w:r>
        <w:t xml:space="preserve">CRA, </w:t>
      </w:r>
      <w:r>
        <w:rPr>
          <w:color w:val="000000"/>
        </w:rPr>
        <w:t>1998 yılından beri</w:t>
      </w:r>
      <w:r>
        <w:t xml:space="preserve"> Abari Hükumetine kayıtlı, </w:t>
      </w:r>
      <w:r>
        <w:rPr>
          <w:color w:val="000000"/>
        </w:rPr>
        <w:t>kar amacı gütmeyen bir</w:t>
      </w:r>
      <w:r>
        <w:t xml:space="preserve"> organizasyondur.</w:t>
      </w:r>
      <w:r>
        <w:rPr>
          <w:color w:val="000000"/>
        </w:rPr>
        <w:t xml:space="preserve"> </w:t>
      </w:r>
      <w:r>
        <w:t>CRA</w:t>
      </w:r>
      <w:r>
        <w:rPr>
          <w:color w:val="000000"/>
        </w:rPr>
        <w:t xml:space="preserve"> programlaması, topluluk temelli bir yaklaşım benimseyerek,</w:t>
      </w:r>
      <w:r>
        <w:t xml:space="preserve"> kırılganlıklarını </w:t>
      </w:r>
      <w:r>
        <w:rPr>
          <w:color w:val="000000"/>
        </w:rPr>
        <w:t xml:space="preserve">azaltmak için topluluk ağlarının sahip olduğu kapasiteleri güçlendirir ve bu ağlar aracılığıyla çalışır. CRA, Sürdürülebilir Kalkınma Hedefleri'nin kaliteli eğitime ilişkin HEDEF 4'ü üzerinde çalışmaya yönelik güçlü bir taahhütte bulunmuştur: Herkes için kaliteli ve kapsayıcı eğitimin sağlanması ve yaşam boyu öğrenmenin teşvik edilmesi. </w:t>
      </w:r>
    </w:p>
    <w:p w14:paraId="00000023" w14:textId="77777777" w:rsidR="00310240" w:rsidRDefault="00000000">
      <w:pPr>
        <w:spacing w:after="200" w:line="240" w:lineRule="auto"/>
        <w:jc w:val="both"/>
        <w:rPr>
          <w:color w:val="333333"/>
          <w:highlight w:val="white"/>
        </w:rPr>
      </w:pPr>
      <w:r>
        <w:rPr>
          <w:color w:val="333333"/>
          <w:highlight w:val="white"/>
        </w:rPr>
        <w:t xml:space="preserve">Dethreea eyaletinde devam eden programlar özellikle kız çocuklarının ilk ve ortaokulu tamamlamasına ve öğretmenlerin mesleki gelişimine odaklanmaktadır. CRA, Abari hükumeti için kaliteli eğitim için asgari standartların geliştirilmesi çalışmasında aktif olarak yer almıştır. </w:t>
      </w:r>
    </w:p>
    <w:p w14:paraId="00000024" w14:textId="77777777" w:rsidR="00310240" w:rsidRDefault="00000000">
      <w:pPr>
        <w:pBdr>
          <w:top w:val="nil"/>
          <w:left w:val="nil"/>
          <w:bottom w:val="nil"/>
          <w:right w:val="nil"/>
          <w:between w:val="nil"/>
        </w:pBdr>
        <w:spacing w:after="200" w:line="240" w:lineRule="auto"/>
        <w:jc w:val="both"/>
        <w:rPr>
          <w:color w:val="000000"/>
        </w:rPr>
      </w:pPr>
      <w:r>
        <w:t xml:space="preserve">CRA </w:t>
      </w:r>
      <w:r>
        <w:rPr>
          <w:color w:val="000000"/>
        </w:rPr>
        <w:t>ayrıca</w:t>
      </w:r>
      <w:r>
        <w:rPr>
          <w:b/>
          <w:color w:val="000000"/>
        </w:rPr>
        <w:t xml:space="preserve"> Dethreea Eyaletinin uzak bölgelerinde suya erişimi</w:t>
      </w:r>
      <w:r>
        <w:rPr>
          <w:color w:val="000000"/>
        </w:rPr>
        <w:t xml:space="preserve"> sağlamak için çalışmış, su toplama sistemleri kurmuş, altyapıları ve su tedarik noktalarını restore etmiş veya inşa etmiş, verimli sulama sistemleri kurmuş ve özel ve kamu binalarının çatılarından yağmur suyu toplamak üzere sistemler kurmuştur.</w:t>
      </w:r>
    </w:p>
    <w:p w14:paraId="00000025" w14:textId="77777777" w:rsidR="00310240" w:rsidRDefault="00000000">
      <w:pPr>
        <w:pBdr>
          <w:top w:val="nil"/>
          <w:left w:val="nil"/>
          <w:bottom w:val="nil"/>
          <w:right w:val="nil"/>
          <w:between w:val="nil"/>
        </w:pBdr>
        <w:spacing w:after="200" w:line="240" w:lineRule="auto"/>
        <w:jc w:val="both"/>
        <w:rPr>
          <w:color w:val="000000"/>
        </w:rPr>
      </w:pPr>
      <w:r>
        <w:rPr>
          <w:color w:val="000000"/>
        </w:rPr>
        <w:t xml:space="preserve">CRA, </w:t>
      </w:r>
      <w:r>
        <w:t>acil durumlarda</w:t>
      </w:r>
      <w:r>
        <w:rPr>
          <w:color w:val="000000"/>
        </w:rPr>
        <w:t xml:space="preserve"> WASH ve Eğitim çabalarını desteklemek adına büyük uluslararası NGO'lar ve Bağışçılarla ortaklık</w:t>
      </w:r>
      <w:r>
        <w:t xml:space="preserve"> kurmuştur ve son zamanlarda çocuklar için gerçekten bütünsel koruma sonuçları sağlayabilmek için stratejisini çocuk koruma programlarını içerecek şekilde genişletmeye karar vermiştir. </w:t>
      </w:r>
    </w:p>
    <w:p w14:paraId="00000026" w14:textId="77777777" w:rsidR="00310240" w:rsidRDefault="00000000">
      <w:pPr>
        <w:spacing w:after="120" w:line="240" w:lineRule="auto"/>
        <w:jc w:val="both"/>
        <w:rPr>
          <w:rFonts w:ascii="Times New Roman" w:eastAsia="Times New Roman" w:hAnsi="Times New Roman" w:cs="Times New Roman"/>
          <w:sz w:val="24"/>
          <w:szCs w:val="24"/>
        </w:rPr>
      </w:pPr>
      <w:r>
        <w:rPr>
          <w:b/>
          <w:color w:val="000000"/>
        </w:rPr>
        <w:t>Ofisler</w:t>
      </w:r>
    </w:p>
    <w:p w14:paraId="00000027" w14:textId="77777777" w:rsidR="00310240" w:rsidRDefault="00000000">
      <w:pPr>
        <w:spacing w:after="200" w:line="240" w:lineRule="auto"/>
        <w:jc w:val="both"/>
        <w:rPr>
          <w:rFonts w:ascii="Times New Roman" w:eastAsia="Times New Roman" w:hAnsi="Times New Roman" w:cs="Times New Roman"/>
          <w:sz w:val="24"/>
          <w:szCs w:val="24"/>
        </w:rPr>
      </w:pPr>
      <w:r>
        <w:rPr>
          <w:color w:val="000000"/>
        </w:rPr>
        <w:t>RCA'nın merkez ofisi Abari City'de bulunmaktadır.  Dethreea Eyaletinde alt ofisleri vardır</w:t>
      </w:r>
    </w:p>
    <w:p w14:paraId="00000028" w14:textId="77777777" w:rsidR="00310240" w:rsidRDefault="00310240"/>
    <w:p w14:paraId="00000029" w14:textId="77777777" w:rsidR="00310240" w:rsidRDefault="00310240"/>
    <w:p w14:paraId="0000002A" w14:textId="77777777" w:rsidR="00310240" w:rsidRDefault="00000000">
      <w:pPr>
        <w:spacing w:after="200" w:line="240" w:lineRule="auto"/>
        <w:jc w:val="center"/>
        <w:rPr>
          <w:rFonts w:ascii="Times New Roman" w:eastAsia="Times New Roman" w:hAnsi="Times New Roman" w:cs="Times New Roman"/>
          <w:sz w:val="24"/>
          <w:szCs w:val="24"/>
        </w:rPr>
      </w:pPr>
      <w:r>
        <w:rPr>
          <w:b/>
          <w:color w:val="000000"/>
          <w:sz w:val="36"/>
        </w:rPr>
        <w:t>Umut Abari (HA)</w:t>
      </w:r>
    </w:p>
    <w:p w14:paraId="0000002B" w14:textId="77777777" w:rsidR="00310240" w:rsidRDefault="00000000">
      <w:pPr>
        <w:spacing w:after="200" w:line="240" w:lineRule="auto"/>
        <w:jc w:val="both"/>
        <w:rPr>
          <w:rFonts w:ascii="Times New Roman" w:eastAsia="Times New Roman" w:hAnsi="Times New Roman" w:cs="Times New Roman"/>
          <w:sz w:val="24"/>
          <w:szCs w:val="24"/>
        </w:rPr>
      </w:pPr>
      <w:r>
        <w:rPr>
          <w:b/>
          <w:i/>
          <w:color w:val="000000"/>
        </w:rPr>
        <w:t xml:space="preserve">Misyon: </w:t>
      </w:r>
      <w:r>
        <w:rPr>
          <w:i/>
          <w:color w:val="000000"/>
        </w:rPr>
        <w:t>Tüm Abari halkı için koruma sağlamak ve kalıcı çözümler elde etmek.</w:t>
      </w:r>
    </w:p>
    <w:p w14:paraId="0000002C" w14:textId="77777777" w:rsidR="00310240" w:rsidRDefault="00000000">
      <w:pPr>
        <w:spacing w:after="120" w:line="240" w:lineRule="auto"/>
        <w:jc w:val="both"/>
        <w:rPr>
          <w:rFonts w:ascii="Times New Roman" w:eastAsia="Times New Roman" w:hAnsi="Times New Roman" w:cs="Times New Roman"/>
          <w:sz w:val="24"/>
          <w:szCs w:val="24"/>
        </w:rPr>
      </w:pPr>
      <w:r>
        <w:rPr>
          <w:b/>
          <w:color w:val="000000"/>
        </w:rPr>
        <w:t>HA Programlamanın Tarihçesi</w:t>
      </w:r>
    </w:p>
    <w:p w14:paraId="0000002D" w14:textId="77777777" w:rsidR="00310240" w:rsidRDefault="00000000">
      <w:pPr>
        <w:pBdr>
          <w:top w:val="nil"/>
          <w:left w:val="nil"/>
          <w:bottom w:val="nil"/>
          <w:right w:val="nil"/>
          <w:between w:val="nil"/>
        </w:pBdr>
        <w:spacing w:after="200" w:line="240" w:lineRule="auto"/>
        <w:jc w:val="both"/>
      </w:pPr>
      <w:r>
        <w:rPr>
          <w:color w:val="000000"/>
        </w:rPr>
        <w:t xml:space="preserve">HA </w:t>
      </w:r>
      <w:r>
        <w:t>,</w:t>
      </w:r>
      <w:r>
        <w:rPr>
          <w:color w:val="000000"/>
        </w:rPr>
        <w:t xml:space="preserve"> 1999 yılından beri Abari Hükumetine kayıtlı</w:t>
      </w:r>
      <w:r>
        <w:t>, kar amacı gütmeyen bir organizasyondur.</w:t>
      </w:r>
      <w:r>
        <w:rPr>
          <w:color w:val="000000"/>
        </w:rPr>
        <w:t xml:space="preserve"> </w:t>
      </w:r>
      <w:r>
        <w:t xml:space="preserve">Asıl olarak </w:t>
      </w:r>
      <w:r>
        <w:rPr>
          <w:color w:val="000000"/>
        </w:rPr>
        <w:t xml:space="preserve">HA </w:t>
      </w:r>
      <w:r>
        <w:t xml:space="preserve"> </w:t>
      </w:r>
      <w:r>
        <w:rPr>
          <w:color w:val="000000"/>
        </w:rPr>
        <w:t xml:space="preserve">sürdürülebilir Kalkınma Hedeflerinin Sağlıkla ilgili 3. HEDEFİ üzerinde çalışmaya yönelik güçlü bir taahhütte bulunmuştur: </w:t>
      </w:r>
      <w:r>
        <w:rPr>
          <w:b/>
          <w:color w:val="FFFFFF"/>
        </w:rPr>
        <w:t xml:space="preserve"> </w:t>
      </w:r>
      <w:r>
        <w:rPr>
          <w:color w:val="000000"/>
        </w:rPr>
        <w:t xml:space="preserve">Her yaştaki herkes için sağlıklı yaşamlar sağlamak ve refahı teşvik etmek. HA Sağlık ve Beslenme programı, annelerin, yenidoğanların ve çocukların ve </w:t>
      </w:r>
      <w:r>
        <w:t xml:space="preserve"> ergenlerin sağlık hizmetlerine erişimine odaklanmaktadır. HA, her çocuğun önlenebilir ve tedavi edilebilir hastalıkları yenebilmesini ve hayatta kalmak ve büyümek için beslenebilmesini sağlamak için Hükumetin Sağlık ve Nüfus Bakanlığı'nın Sağlık Hizmetleri Departmanı ile yakın işbirliği içinde çalışmaktadır. HA, kadın toplum sağlığı gönüllüleri de dahil olmak üzere ön saflardaki sağlık çalışanlarını eğiterek onları anne ve bebekleri kurtaracak becerilerle donatmaya odaklanıyor. Eğitimler ebelik becerileri, topluluk temelli yeni doğan bakımı ve bebek ve küçük çocuk beslenmesini kapsamaktadır.  </w:t>
      </w:r>
    </w:p>
    <w:p w14:paraId="0000002E" w14:textId="77777777" w:rsidR="00310240" w:rsidRDefault="00000000">
      <w:pPr>
        <w:pBdr>
          <w:top w:val="nil"/>
          <w:left w:val="nil"/>
          <w:bottom w:val="nil"/>
          <w:right w:val="nil"/>
          <w:between w:val="nil"/>
        </w:pBdr>
        <w:spacing w:after="200" w:line="240" w:lineRule="auto"/>
        <w:jc w:val="both"/>
      </w:pPr>
      <w:r>
        <w:t>2018'den bu yana HA, özellikle ilkokullarla çalışarak, okula gitmeyen çocukları okula devam etmeye, öğretmenleri aktif öğretme ve öğrenme yöntemlerini benimseme konusuna dahil etmeye ve okul yönetim komitelerinin okulda çocuk dostu öğrenmeyi destekleme kapasitesini artırmaya odaklanan Eğitim programını da uygulamaktadır. HA, ilkokul çağındaki çocukların erken okuma, yazma ve aritmetik becerilerini desteklemek için okullar, öğretmenler ve topluluklarla birlikte çalışmalar yürütmektedir. </w:t>
      </w:r>
    </w:p>
    <w:p w14:paraId="0000002F" w14:textId="77777777" w:rsidR="00310240" w:rsidRDefault="00000000">
      <w:pPr>
        <w:spacing w:after="200" w:line="240" w:lineRule="auto"/>
        <w:jc w:val="both"/>
      </w:pPr>
      <w:r>
        <w:lastRenderedPageBreak/>
        <w:t xml:space="preserve">Yakın zamanda HA, çocuklar için gerçekten bütüncül koruma sonuçları sağlayabilmek amacıyla programlamasını insani yardım faaliyetlerinde çocuk koruma alanına genişletmeye karar vermiştir. </w:t>
      </w:r>
    </w:p>
    <w:p w14:paraId="00000030" w14:textId="77777777" w:rsidR="00310240" w:rsidRDefault="00000000">
      <w:pPr>
        <w:spacing w:after="120" w:line="240" w:lineRule="auto"/>
        <w:jc w:val="both"/>
        <w:rPr>
          <w:rFonts w:ascii="Times New Roman" w:eastAsia="Times New Roman" w:hAnsi="Times New Roman" w:cs="Times New Roman"/>
          <w:sz w:val="24"/>
          <w:szCs w:val="24"/>
        </w:rPr>
      </w:pPr>
      <w:r>
        <w:rPr>
          <w:b/>
          <w:color w:val="000000"/>
        </w:rPr>
        <w:t>Ofisler</w:t>
      </w:r>
    </w:p>
    <w:p w14:paraId="00000031" w14:textId="77777777" w:rsidR="00310240" w:rsidRDefault="00000000">
      <w:pPr>
        <w:spacing w:after="200" w:line="240" w:lineRule="auto"/>
        <w:jc w:val="both"/>
        <w:rPr>
          <w:rFonts w:ascii="Times New Roman" w:eastAsia="Times New Roman" w:hAnsi="Times New Roman" w:cs="Times New Roman"/>
          <w:sz w:val="24"/>
          <w:szCs w:val="24"/>
        </w:rPr>
      </w:pPr>
      <w:r>
        <w:rPr>
          <w:color w:val="000000"/>
        </w:rPr>
        <w:t xml:space="preserve">HA'nın Abari City'de bir merkez ofisi, Detua'da 1 alt ofisi ve Dethreea'da bir alt ofisi bulunmaktadır. </w:t>
      </w:r>
    </w:p>
    <w:p w14:paraId="00000032" w14:textId="77777777" w:rsidR="00310240" w:rsidRDefault="00310240"/>
    <w:p w14:paraId="00000033" w14:textId="77777777" w:rsidR="00310240" w:rsidRDefault="00310240">
      <w:bookmarkStart w:id="2" w:name="_heading=h.30j0zll"/>
      <w:bookmarkEnd w:id="2"/>
    </w:p>
    <w:sectPr w:rsidR="00310240">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swald">
    <w:altName w:val="Arial Narrow"/>
    <w:panose1 w:val="02000503000000000000"/>
    <w:charset w:val="00"/>
    <w:family w:val="auto"/>
    <w:pitch w:val="variable"/>
    <w:sig w:usb0="A000026F" w:usb1="4000004B" w:usb2="00000000" w:usb3="00000000" w:csb0="00000197"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240"/>
    <w:rsid w:val="00310240"/>
    <w:rsid w:val="00525B1F"/>
    <w:rsid w:val="005E21C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D8588"/>
  <w15:docId w15:val="{F43BB6DA-BCEC-4B54-8FB2-F7B244A6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E122A"/>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25B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y9xPsRnl29As3XV4OzmU9jI90A==">CgMxLjAyCGguZ2pkZ3hzMg5oLnlna2JucWJraTF3ZzIJaC4zMGowemxsOAByITE4U0I2U0lWd2RXZXB4WWxRNVBNSDNYRGRFLU5lXzdoMA==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26E303-5B14-4264-B55D-072FA1E07FFC}">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0E73873-0837-4F9A-8511-57B686A0E1B8}"/>
</file>

<file path=customXml/itemProps4.xml><?xml version="1.0" encoding="utf-8"?>
<ds:datastoreItem xmlns:ds="http://schemas.openxmlformats.org/officeDocument/2006/customXml" ds:itemID="{24F77DAC-4963-4C20-972B-B490093B0449}"/>
</file>

<file path=docProps/app.xml><?xml version="1.0" encoding="utf-8"?>
<Properties xmlns="http://schemas.openxmlformats.org/officeDocument/2006/extended-properties" xmlns:vt="http://schemas.openxmlformats.org/officeDocument/2006/docPropsVTypes">
  <Template>Normal</Template>
  <TotalTime>0</TotalTime>
  <Pages>4</Pages>
  <Words>1334</Words>
  <Characters>7609</Characters>
  <Application>Microsoft Office Word</Application>
  <DocSecurity>0</DocSecurity>
  <Lines>63</Lines>
  <Paragraphs>17</Paragraphs>
  <ScaleCrop>false</ScaleCrop>
  <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2024-03-25T15:49:00Z</dcterms:created>
  <dcterms:modified xsi:type="dcterms:W3CDTF">2024-03-28T17:44:00Z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