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12D22" w14:textId="77777777" w:rsidR="0048343E" w:rsidRDefault="0048343E" w:rsidP="0048343E">
      <w:pPr>
        <w:pStyle w:val="TableParagraph"/>
        <w:spacing w:line="1139" w:lineRule="exact"/>
        <w:ind w:left="200"/>
        <w:rPr>
          <w:b/>
          <w:sz w:val="100"/>
        </w:rPr>
      </w:pPr>
      <w:r>
        <w:rPr>
          <w:b/>
          <w:sz w:val="100"/>
        </w:rPr>
        <w:t>ÖNERİ</w:t>
      </w:r>
    </w:p>
    <w:p w14:paraId="6EAD6856" w14:textId="77777777" w:rsidR="0048343E" w:rsidRDefault="0048343E" w:rsidP="0048343E">
      <w:pPr>
        <w:pStyle w:val="TableParagraph"/>
        <w:rPr>
          <w:b/>
          <w:sz w:val="95"/>
        </w:rPr>
      </w:pPr>
    </w:p>
    <w:p w14:paraId="0D88962B" w14:textId="22D24DC3" w:rsidR="0048343E" w:rsidRDefault="0048343E" w:rsidP="0048343E">
      <w:pPr>
        <w:pStyle w:val="TableParagraph"/>
        <w:spacing w:before="1" w:line="288" w:lineRule="auto"/>
        <w:ind w:left="200" w:right="198"/>
        <w:jc w:val="both"/>
        <w:rPr>
          <w:b/>
          <w:sz w:val="72"/>
        </w:rPr>
      </w:pPr>
      <w:r>
        <w:rPr>
          <w:b/>
          <w:color w:val="DA291C"/>
          <w:sz w:val="72"/>
        </w:rPr>
        <w:t xml:space="preserve">ACİL DURUMLARDA EĞİTİM </w:t>
      </w:r>
    </w:p>
    <w:p w14:paraId="796DA5F2" w14:textId="64058A7D" w:rsidR="00093B4E" w:rsidRDefault="00093B4E" w:rsidP="0048343E"/>
    <w:p w14:paraId="439ED42C" w14:textId="3F3E7201" w:rsidR="0048343E" w:rsidRDefault="0048343E" w:rsidP="0048343E"/>
    <w:p w14:paraId="59A857EB" w14:textId="2A41BE1F" w:rsidR="0048343E" w:rsidRDefault="0048343E" w:rsidP="0048343E"/>
    <w:p w14:paraId="37276662" w14:textId="7D8F7D23" w:rsidR="0048343E" w:rsidRDefault="0048343E" w:rsidP="0048343E"/>
    <w:p w14:paraId="04C0A91F" w14:textId="6E24B20C" w:rsidR="0048343E" w:rsidRDefault="0048343E" w:rsidP="0048343E"/>
    <w:p w14:paraId="10CF6183" w14:textId="5E9AFB83" w:rsidR="0048343E" w:rsidRDefault="0048343E" w:rsidP="0048343E"/>
    <w:p w14:paraId="7AAFBD02" w14:textId="42F2EF8F" w:rsidR="00126B25" w:rsidRDefault="00126B25" w:rsidP="0048343E"/>
    <w:p w14:paraId="7CDD2846" w14:textId="4B5EF1C7" w:rsidR="00126B25" w:rsidRDefault="00126B25" w:rsidP="0048343E"/>
    <w:p w14:paraId="146E2BF3" w14:textId="6198B5C8" w:rsidR="00126B25" w:rsidRDefault="00126B25" w:rsidP="0048343E"/>
    <w:p w14:paraId="3A82B5D0" w14:textId="4385C594" w:rsidR="00126B25" w:rsidRDefault="00126B25" w:rsidP="0048343E"/>
    <w:p w14:paraId="7DF99082" w14:textId="6A29D1F2" w:rsidR="00126B25" w:rsidRDefault="00126B25" w:rsidP="0048343E"/>
    <w:p w14:paraId="61682188" w14:textId="72DB3878" w:rsidR="00126B25" w:rsidRDefault="00126B25" w:rsidP="0048343E"/>
    <w:p w14:paraId="5F123A2B" w14:textId="594E7716" w:rsidR="00126B25" w:rsidRDefault="00126B25" w:rsidP="0048343E"/>
    <w:p w14:paraId="323B5D50" w14:textId="2A778321" w:rsidR="00126B25" w:rsidRDefault="00126B25" w:rsidP="0048343E"/>
    <w:p w14:paraId="45EE6440" w14:textId="6588CE3A" w:rsidR="00126B25" w:rsidRDefault="00126B25" w:rsidP="0048343E"/>
    <w:p w14:paraId="4C5C8540" w14:textId="1470BD99" w:rsidR="00126B25" w:rsidRDefault="00126B25" w:rsidP="0048343E"/>
    <w:p w14:paraId="442645C9" w14:textId="0B501A7F" w:rsidR="00126B25" w:rsidRDefault="00126B25" w:rsidP="0048343E"/>
    <w:p w14:paraId="1B1531E3" w14:textId="17278A57" w:rsidR="00126B25" w:rsidRDefault="00126B25" w:rsidP="0048343E"/>
    <w:p w14:paraId="62F2D9E9" w14:textId="199EA33A" w:rsidR="00126B25" w:rsidRDefault="00126B25" w:rsidP="0048343E"/>
    <w:p w14:paraId="75E8AAE7" w14:textId="79F16104" w:rsidR="00126B25" w:rsidRDefault="00126B25" w:rsidP="0048343E"/>
    <w:p w14:paraId="3C23D575" w14:textId="45C0BED9" w:rsidR="00126B25" w:rsidRDefault="00126B25" w:rsidP="0048343E"/>
    <w:p w14:paraId="5FBC2F51" w14:textId="517018BB" w:rsidR="0048343E" w:rsidRDefault="0048343E" w:rsidP="0048343E"/>
    <w:p w14:paraId="5471A3C3" w14:textId="26A443E9" w:rsidR="0048343E" w:rsidRDefault="0048343E" w:rsidP="0048343E"/>
    <w:p w14:paraId="06CE13D8" w14:textId="2ADC02E9" w:rsidR="0048343E" w:rsidRDefault="0048343E" w:rsidP="0048343E"/>
    <w:p w14:paraId="306EDFCA" w14:textId="3FD62BBE" w:rsidR="0048343E" w:rsidRDefault="0048343E" w:rsidP="0048343E">
      <w:pPr>
        <w:pStyle w:val="Heading1"/>
        <w:tabs>
          <w:tab w:val="left" w:pos="1779"/>
        </w:tabs>
        <w:spacing w:before="77"/>
      </w:pPr>
      <w:bookmarkStart w:id="0" w:name="_Toc104396157"/>
      <w:r>
        <w:rPr>
          <w:color w:val="DA291C"/>
        </w:rPr>
        <w:lastRenderedPageBreak/>
        <w:t>YÖNETİ</w:t>
      </w:r>
      <w:r w:rsidR="00A5267B">
        <w:rPr>
          <w:color w:val="DA291C"/>
        </w:rPr>
        <w:t>Cİ</w:t>
      </w:r>
      <w:r>
        <w:rPr>
          <w:color w:val="DA291C"/>
        </w:rPr>
        <w:t xml:space="preserve"> ÖZETİ</w:t>
      </w:r>
      <w:bookmarkEnd w:id="0"/>
    </w:p>
    <w:p w14:paraId="288C12CA" w14:textId="77777777" w:rsidR="0048343E" w:rsidRDefault="0048343E" w:rsidP="0048343E">
      <w:pPr>
        <w:pStyle w:val="BodyText"/>
        <w:spacing w:before="183" w:line="244" w:lineRule="auto"/>
        <w:ind w:right="1233"/>
        <w:jc w:val="both"/>
      </w:pPr>
      <w:r>
        <w:t>Yirmi yılı aşkın süredir devam eden çatışmalar Abari'nin eğitim sistemini gerçek anlamda harap etti. Abari'de 150000'den fazla çocuğun okula devam edemediği tahmin edilmektedir; okula gitmeyen bu çocukların %60'ından fazlasını kız çocukları oluşturmaktadır ve bu toplumsal cinsiyet eşitsizliği bazı eyaletlerde daha da yüksek oranlara ulaşmaktadır.</w:t>
      </w:r>
    </w:p>
    <w:p w14:paraId="20B99106" w14:textId="77777777" w:rsidR="0048343E" w:rsidRDefault="0048343E" w:rsidP="0048343E">
      <w:pPr>
        <w:pStyle w:val="BodyText"/>
        <w:spacing w:before="3"/>
        <w:ind w:left="0"/>
      </w:pPr>
    </w:p>
    <w:p w14:paraId="09FD4B28" w14:textId="2EF1BE4B" w:rsidR="0048343E" w:rsidRDefault="0048343E" w:rsidP="0048343E">
      <w:pPr>
        <w:pStyle w:val="BodyText"/>
        <w:spacing w:line="244" w:lineRule="auto"/>
        <w:ind w:right="1228"/>
        <w:jc w:val="both"/>
      </w:pPr>
      <w:r>
        <w:t xml:space="preserve">Abari giderek artan bir güvensizlik ortamı içinde olmaya devam etmektedir. Devam eden güvensizlik ortamı yüksek oranlı nüfus hareketleri ile bir araya geldiğinde, zaten kırılgan bir yapıya sahip olan Eğitim sistemi üzerinde ek bir baskı oluşturmaktadır. Son zamanlarda yapılan anketler, geri dönen ve yerinden edilmiş </w:t>
      </w:r>
      <w:r w:rsidR="00A5267B">
        <w:t xml:space="preserve">(IDP) </w:t>
      </w:r>
      <w:r>
        <w:t>kız ve erkek çocukların yarısından fazlasının, devlet okullarının ilave çocukları kabul etmek için yeterli kapasitesinin olmaması, resmi belge eksikliği, maliyetler, dil kaynaklı engeller ve yerinden edilmiş kız ve erkek çocuklara yönelik devam eden ayrımcılık ve damgalama davranışları nedeniyle eğitim fırsatlarına erişimlerinin olmadığını göstermektedir.</w:t>
      </w:r>
    </w:p>
    <w:p w14:paraId="5538E4F1" w14:textId="77777777" w:rsidR="0048343E" w:rsidRDefault="0048343E" w:rsidP="0048343E">
      <w:pPr>
        <w:pStyle w:val="BodyText"/>
        <w:spacing w:before="11"/>
        <w:ind w:left="0"/>
        <w:rPr>
          <w:sz w:val="21"/>
        </w:rPr>
      </w:pPr>
    </w:p>
    <w:p w14:paraId="02B3E039" w14:textId="5F0EC3D9" w:rsidR="0048343E" w:rsidRDefault="0048343E" w:rsidP="0048343E">
      <w:pPr>
        <w:pStyle w:val="BodyText"/>
        <w:spacing w:line="244" w:lineRule="auto"/>
        <w:ind w:right="1232"/>
        <w:jc w:val="both"/>
      </w:pPr>
      <w:r>
        <w:t xml:space="preserve">Eğitim silahlı gruplar tarafından hedef alınmaya devam etmekte, okullar askeri </w:t>
      </w:r>
      <w:r w:rsidR="00A5267B">
        <w:t>çatışma</w:t>
      </w:r>
      <w:r>
        <w:t xml:space="preserve"> alanı olarak kullanılmakta ve çocuklar okul yolunda giderek artan risklere maruz kalmaktadır. Eğitimin Saldırılardan Korunması Küresel Koalisyonu tarafından yakın bir geçmişte yapılan bir araştırmaya göre, öğretmenlere yönelik belgelenmiş tehdit ve yıldırma eylemleri son birkaç yılda, ağırlıklı olarak kız çocuklarının eğitimine yönelik olmak üzere, önemli ölçüde artmıştır.</w:t>
      </w:r>
    </w:p>
    <w:p w14:paraId="49ADA90C" w14:textId="77777777" w:rsidR="0048343E" w:rsidRDefault="0048343E" w:rsidP="0048343E">
      <w:pPr>
        <w:pStyle w:val="BodyText"/>
        <w:spacing w:before="1"/>
        <w:ind w:left="0"/>
      </w:pPr>
    </w:p>
    <w:p w14:paraId="263B1000" w14:textId="547C3D3D" w:rsidR="0048343E" w:rsidRDefault="0048343E" w:rsidP="0048343E">
      <w:pPr>
        <w:pStyle w:val="BodyText"/>
        <w:spacing w:line="244" w:lineRule="auto"/>
        <w:ind w:right="1231"/>
        <w:jc w:val="both"/>
      </w:pPr>
      <w:r>
        <w:t xml:space="preserve">Yukarıda bahsedilenler ışığında, Abari'deki tüm erkek ve kız çocuklarının güvenli ve koruyucu bir öğrenme ortamında kaliteli eğitime erişim hakkına sahip olmalarını sağlamak </w:t>
      </w:r>
      <w:r w:rsidR="00A5267B" w:rsidRPr="00FE5B0B">
        <w:t>çok önemlidir</w:t>
      </w:r>
      <w:r>
        <w:t>. Önerilen proje, geri dönenler (belgeleri olan ve olmayan), yerinden edilmiş kişiler (çatışma ve doğal afetten etkilenmiş olarak), hassas durumdaki ev sahibi topluluklar ve en çok etkilenen eyaletlerdeki engelli çocuklar için topluluk temelli eğitim sağlamayı amaçlamaktadır. Programın genel amacı, acil durumlarda kaliteli ve kapsayıcı eğitime erişim imkanlarını iyileştirmek ve çatışmalardan etkilenen 5 ile 15 yaş arası kız ve erkek çocuklar için güvenli bir öğrenme ortamı sağlamaktır.</w:t>
      </w:r>
    </w:p>
    <w:p w14:paraId="42E183ED" w14:textId="77777777" w:rsidR="0048343E" w:rsidRDefault="0048343E" w:rsidP="0048343E">
      <w:pPr>
        <w:pStyle w:val="BodyText"/>
        <w:spacing w:before="8"/>
        <w:ind w:left="0"/>
      </w:pPr>
    </w:p>
    <w:p w14:paraId="608EF037" w14:textId="77777777" w:rsidR="0048343E" w:rsidRDefault="0048343E" w:rsidP="0048343E">
      <w:pPr>
        <w:pStyle w:val="BodyText"/>
        <w:jc w:val="both"/>
      </w:pPr>
      <w:r>
        <w:t>Dört beklenen sonuç alanı ise genel program hedefine katkıda bulunacaktır:</w:t>
      </w:r>
    </w:p>
    <w:p w14:paraId="66A25501" w14:textId="77777777" w:rsidR="0048343E" w:rsidRDefault="0048343E" w:rsidP="0048343E">
      <w:pPr>
        <w:pStyle w:val="BodyText"/>
        <w:spacing w:before="10"/>
        <w:ind w:left="0"/>
      </w:pPr>
    </w:p>
    <w:p w14:paraId="7CA3FE32" w14:textId="77777777" w:rsidR="0048343E" w:rsidRDefault="0048343E" w:rsidP="0048343E">
      <w:pPr>
        <w:pStyle w:val="ListParagraph"/>
        <w:numPr>
          <w:ilvl w:val="1"/>
          <w:numId w:val="1"/>
        </w:numPr>
        <w:tabs>
          <w:tab w:val="left" w:pos="2138"/>
          <w:tab w:val="left" w:pos="2139"/>
        </w:tabs>
        <w:spacing w:line="242" w:lineRule="auto"/>
        <w:ind w:right="1237"/>
      </w:pPr>
      <w:r>
        <w:t>IDP, geri dönen ve ev sahibi topluluktan erkek ve kız çocuklarının kaliteli temel bir eğitime erişiminin artırılması.</w:t>
      </w:r>
    </w:p>
    <w:p w14:paraId="3A5BC784" w14:textId="3D462C18" w:rsidR="0048343E" w:rsidRDefault="0048343E" w:rsidP="0048343E">
      <w:pPr>
        <w:pStyle w:val="ListParagraph"/>
        <w:numPr>
          <w:ilvl w:val="1"/>
          <w:numId w:val="1"/>
        </w:numPr>
        <w:tabs>
          <w:tab w:val="left" w:pos="2138"/>
          <w:tab w:val="left" w:pos="2139"/>
        </w:tabs>
        <w:spacing w:before="3" w:line="255" w:lineRule="exact"/>
        <w:ind w:hanging="361"/>
      </w:pPr>
      <w:r>
        <w:t>Acil durumdan etkilenen kız ve erkek çocuklar için Eğitimin Sürekliliği</w:t>
      </w:r>
      <w:r w:rsidR="00A5267B">
        <w:t>nin</w:t>
      </w:r>
      <w:r>
        <w:t xml:space="preserve"> artırılmması</w:t>
      </w:r>
    </w:p>
    <w:p w14:paraId="1F8D06B6" w14:textId="481673E1" w:rsidR="0048343E" w:rsidRPr="0048343E" w:rsidRDefault="0048343E" w:rsidP="0048343E">
      <w:pPr>
        <w:pStyle w:val="ListParagraph"/>
        <w:numPr>
          <w:ilvl w:val="1"/>
          <w:numId w:val="1"/>
        </w:numPr>
        <w:tabs>
          <w:tab w:val="left" w:pos="2138"/>
          <w:tab w:val="left" w:pos="2139"/>
        </w:tabs>
        <w:spacing w:line="255" w:lineRule="exact"/>
        <w:ind w:hanging="361"/>
      </w:pPr>
      <w:r>
        <w:t>Acil durumdan etkilenen kız ve erkek çocukların öğrenim kalitesi</w:t>
      </w:r>
      <w:r w:rsidR="00A5267B">
        <w:t>nin</w:t>
      </w:r>
      <w:r>
        <w:t xml:space="preserve"> artırılmması</w:t>
      </w:r>
    </w:p>
    <w:p w14:paraId="44C10426" w14:textId="3BC90770" w:rsidR="0048343E" w:rsidRPr="00FE5B0B" w:rsidRDefault="0048343E" w:rsidP="0048343E"/>
    <w:p w14:paraId="2A2F2F8D" w14:textId="6F400238" w:rsidR="0048343E" w:rsidRPr="00FE5B0B" w:rsidRDefault="0048343E" w:rsidP="0048343E"/>
    <w:p w14:paraId="05A221EC" w14:textId="37FC0CB6" w:rsidR="0048343E" w:rsidRPr="00FE5B0B" w:rsidRDefault="0048343E" w:rsidP="0048343E"/>
    <w:p w14:paraId="3C32C283" w14:textId="77777777" w:rsidR="0048343E" w:rsidRDefault="0048343E" w:rsidP="0048343E">
      <w:pPr>
        <w:pStyle w:val="Heading1"/>
        <w:tabs>
          <w:tab w:val="left" w:pos="1779"/>
        </w:tabs>
        <w:spacing w:before="1"/>
      </w:pPr>
      <w:r>
        <w:rPr>
          <w:color w:val="DA291C"/>
        </w:rPr>
        <w:lastRenderedPageBreak/>
        <w:t>Abari'nin Eğitim Sistemi</w:t>
      </w:r>
    </w:p>
    <w:p w14:paraId="025CFF40" w14:textId="77777777" w:rsidR="0048343E" w:rsidRDefault="0048343E" w:rsidP="0048343E">
      <w:pPr>
        <w:pStyle w:val="BodyText"/>
        <w:spacing w:before="9"/>
        <w:ind w:left="0"/>
        <w:rPr>
          <w:rFonts w:ascii="Times New Roman"/>
          <w:b/>
          <w:i/>
        </w:rPr>
      </w:pPr>
    </w:p>
    <w:p w14:paraId="44B8DDB1" w14:textId="20684C71" w:rsidR="0048343E" w:rsidRDefault="0048343E" w:rsidP="0048343E">
      <w:pPr>
        <w:pStyle w:val="BodyText"/>
        <w:spacing w:line="244" w:lineRule="auto"/>
        <w:ind w:right="1230"/>
        <w:jc w:val="both"/>
      </w:pPr>
      <w:r>
        <w:t>Yirmi yılı aşkın süredir devam eden çatışmalar Abari'nin eğitim sistemini gerçek anlamda harap etti. İlkokulu tamamlama oranları, özellikle kız çocukları ve kırsal kesimde yaşayan çocuklar için düşük kalmaya devam etmekte. Kız çocuklarının okulu tamamlama oranının düşük olmasının en belirgin nedenleri şunlardır: i) bazı ailelerin kız çocuklarının 6. sınıftan sonra okula gitmesine izin verme</w:t>
      </w:r>
      <w:r w:rsidR="00A5267B">
        <w:t>yen</w:t>
      </w:r>
      <w:r>
        <w:t xml:space="preserve"> olumsuz gelenekler, ii) kadın öğretmen eksikliği, iii) uzun mesafeler, iv) güvensizlik ve v) okullarda ayrılmış sıhhi tesislerin olmaması, vi) bazı durumlarda kız çocuklarının eğitimlerini tamamlamalarını engelleyen ev işlerinin varlığı. İlköğretim çağındaki çocukların sayısının artmasıyla Abari'de eğitim sisteminin yeniden kurulması konusunda ilerleme kaydedilmektedir. Ulusal Risk Hassasiyet Değerlendirmesi 2019-2020'ye göre, toplumsal cinsiyet </w:t>
      </w:r>
      <w:r>
        <w:rPr>
          <w:u w:val="single"/>
        </w:rPr>
        <w:t>eşitsizliği devam etmektedir; bu bağlamda kız çocuklarının sadece %40'ı ilkokul eğitimini tamamlarken, bu oran erkek çocukların için %70’tir</w:t>
      </w:r>
      <w:r>
        <w:t>.</w:t>
      </w:r>
    </w:p>
    <w:p w14:paraId="031DA5ED" w14:textId="77777777" w:rsidR="0048343E" w:rsidRDefault="0048343E" w:rsidP="0048343E">
      <w:pPr>
        <w:pStyle w:val="BodyText"/>
        <w:spacing w:before="10"/>
        <w:ind w:left="0"/>
        <w:rPr>
          <w:sz w:val="21"/>
        </w:rPr>
      </w:pPr>
    </w:p>
    <w:p w14:paraId="23731851" w14:textId="77777777" w:rsidR="0048343E" w:rsidRDefault="0048343E" w:rsidP="0048343E">
      <w:pPr>
        <w:pStyle w:val="BodyText"/>
        <w:spacing w:line="244" w:lineRule="auto"/>
        <w:ind w:right="1231"/>
        <w:jc w:val="both"/>
      </w:pPr>
      <w:r>
        <w:t>Buna ek olarak, değerlendirme bulguları, geri dönen kız ve erkek çocukların yarısından fazlasının, devlet okullarının ilave çocukları kaydetme kapasitesinin olmaması, kaydı sağlamak için gerekli resmi belgelerin eksikliği, maliyet faktörleri, dil ile ilgili engeller ve sınırlı eğitim olanakları için rekabet sonucunda ev sahibi topluluklar tarafından uygulanan ayrımcılık nedeniyle şu anda okula gitmediğini göstermektedir.</w:t>
      </w:r>
    </w:p>
    <w:p w14:paraId="11789D25" w14:textId="77777777" w:rsidR="0048343E" w:rsidRDefault="0048343E" w:rsidP="0048343E">
      <w:pPr>
        <w:pStyle w:val="BodyText"/>
        <w:spacing w:before="3"/>
        <w:ind w:left="0"/>
      </w:pPr>
    </w:p>
    <w:p w14:paraId="5B314405" w14:textId="77777777" w:rsidR="0048343E" w:rsidRDefault="0048343E" w:rsidP="0048343E">
      <w:pPr>
        <w:pStyle w:val="BodyText"/>
        <w:spacing w:line="244" w:lineRule="auto"/>
        <w:ind w:right="1235"/>
        <w:jc w:val="both"/>
      </w:pPr>
      <w:r>
        <w:t>Kaliteli öğrenme açısından, yapılan araştırmalar 6. sınıf öğrencilerinin dil ve matematik alanlarındaki yeterlilik düzeylerinin komşu ülkelerdeki 4. sınıf öğrencileriyle eşit olduğunu göstermektedir. Yapısal zorluklar, verimsiz kaynak yönetimi ve yolsuzluk, kaliteli eğitime erişimin iyileştirilmesini daha da fazla engelleyen faktörlerdir.</w:t>
      </w:r>
    </w:p>
    <w:p w14:paraId="0C0B5AC5" w14:textId="77777777" w:rsidR="0048343E" w:rsidRDefault="0048343E" w:rsidP="0048343E">
      <w:pPr>
        <w:pStyle w:val="BodyText"/>
        <w:spacing w:before="1"/>
        <w:ind w:left="0"/>
      </w:pPr>
    </w:p>
    <w:p w14:paraId="2AA60113" w14:textId="77777777" w:rsidR="0048343E" w:rsidRDefault="0048343E" w:rsidP="0048343E">
      <w:pPr>
        <w:pStyle w:val="BodyText"/>
        <w:spacing w:line="244" w:lineRule="auto"/>
        <w:ind w:right="1229"/>
        <w:jc w:val="both"/>
      </w:pPr>
      <w:r>
        <w:t>Kontrolden çıkan çatışma seviyeleri, daha önce yerinden edilmiş çocukların geri dönüşü</w:t>
      </w:r>
      <w:r>
        <w:rPr>
          <w:sz w:val="14"/>
        </w:rPr>
        <w:t xml:space="preserve"> </w:t>
      </w:r>
      <w:r>
        <w:t>ve zorla yerinden edilme hususları eğitim sistemindeki bu kazanımların tersine dönmesi tehdidini doğurmaktadır. Yetersiz, hasarlı veya erişilemez nitelikteki fiziksel eğitim altyapısı, Abari'de eğitime erişimin önündeki en büyük engellerden biri olarak ortaya çıkmaktadır. Milli Eğitim Bakanlığına (MoE) göre okulların</w:t>
      </w:r>
      <w:r>
        <w:rPr>
          <w:sz w:val="14"/>
        </w:rPr>
        <w:t xml:space="preserve"> </w:t>
      </w:r>
      <w:r>
        <w:t xml:space="preserve">sadece yüzde 51'inin bir binası var. </w:t>
      </w:r>
    </w:p>
    <w:p w14:paraId="3D83F0A6" w14:textId="77777777" w:rsidR="0048343E" w:rsidRDefault="0048343E" w:rsidP="0048343E">
      <w:pPr>
        <w:pStyle w:val="BodyText"/>
        <w:ind w:left="0"/>
      </w:pPr>
    </w:p>
    <w:p w14:paraId="09B3D35F" w14:textId="03045ACB" w:rsidR="0048343E" w:rsidRDefault="0048343E" w:rsidP="0048343E">
      <w:pPr>
        <w:pStyle w:val="BodyText"/>
        <w:spacing w:line="244" w:lineRule="auto"/>
        <w:ind w:right="1232"/>
        <w:jc w:val="both"/>
        <w:rPr>
          <w:spacing w:val="-1"/>
          <w:w w:val="95"/>
        </w:rPr>
      </w:pPr>
      <w:r>
        <w:t xml:space="preserve">Eğitim tesislerine yönelik saldırılar Abari'de kritik bir sorun olmaya devam etmektedir. 2021 yılında 20 okul silahlı gruplar tarafından işgal edilmiştir - bu sayı 2019 yılının neredeyse iki katı kadardır. Zaman zaman bu okullar askeri mevzileri güçlendirmek adına kullanılan </w:t>
      </w:r>
      <w:r w:rsidR="00A5267B">
        <w:t>çatışma</w:t>
      </w:r>
      <w:r>
        <w:t xml:space="preserve"> alanları olarak kullanıl</w:t>
      </w:r>
      <w:r w:rsidR="00A5267B">
        <w:t>maktadır</w:t>
      </w:r>
      <w:r>
        <w:t xml:space="preserve">. </w:t>
      </w:r>
    </w:p>
    <w:p w14:paraId="52C0866D" w14:textId="77777777" w:rsidR="0048343E" w:rsidRDefault="0048343E" w:rsidP="0048343E">
      <w:pPr>
        <w:pStyle w:val="BodyText"/>
        <w:spacing w:line="244" w:lineRule="auto"/>
        <w:ind w:right="1232"/>
        <w:jc w:val="both"/>
        <w:rPr>
          <w:spacing w:val="-1"/>
          <w:w w:val="95"/>
        </w:rPr>
      </w:pPr>
    </w:p>
    <w:p w14:paraId="5B8081E0" w14:textId="4151FD61" w:rsidR="0048343E" w:rsidRPr="00FE5B0B" w:rsidRDefault="0048343E" w:rsidP="0048343E"/>
    <w:p w14:paraId="017238E6" w14:textId="15FD8E0C" w:rsidR="0048343E" w:rsidRPr="00FE5B0B" w:rsidRDefault="0048343E" w:rsidP="0048343E"/>
    <w:p w14:paraId="0E870DB1" w14:textId="77777777" w:rsidR="0048343E" w:rsidRDefault="0048343E" w:rsidP="0048343E">
      <w:pPr>
        <w:pStyle w:val="Heading1"/>
        <w:tabs>
          <w:tab w:val="left" w:pos="1779"/>
        </w:tabs>
        <w:spacing w:before="1"/>
      </w:pPr>
      <w:bookmarkStart w:id="1" w:name="_Toc104396161"/>
      <w:r>
        <w:rPr>
          <w:color w:val="DA291C"/>
        </w:rPr>
        <w:t>PROJE GEREKÇELENDİRMESİ̇</w:t>
      </w:r>
      <w:bookmarkEnd w:id="1"/>
    </w:p>
    <w:p w14:paraId="6E250428" w14:textId="77777777" w:rsidR="0048343E" w:rsidRDefault="0048343E" w:rsidP="0048343E">
      <w:pPr>
        <w:pStyle w:val="BodyText"/>
        <w:spacing w:before="185" w:line="244" w:lineRule="auto"/>
        <w:ind w:right="1231"/>
        <w:jc w:val="both"/>
      </w:pPr>
      <w:r>
        <w:t xml:space="preserve">Geri dönenlerin akını ve çocukların sürekli yer değiştirmesi, Abari'de </w:t>
      </w:r>
      <w:r>
        <w:lastRenderedPageBreak/>
        <w:t>zaten yetersiz kaynaklara sahip olan Eğitim sistemini daha da zorlamaktadır. Bunun bir sonucu olarak, yerinden edilmiş, geri dönen ve mülteci çocukların herhangi bir öğrenme biçimine erişme fırsatları ya çok azdır ya da hiç yoktur. Tüm çocukların güvenli ve koruyucu öğrenme ortamlarına erişiminin sağlanması sadece temel bir hak değil, aynı zamanda çatışmadan etkilenen çocukların gelecekleri için akranlarıyla eşit fırsatlara sahip olmalarını sağlamanın yanında daha fazla koruma riskine maruz kalmalarını önlemek adına da çok önemlidir.</w:t>
      </w:r>
    </w:p>
    <w:p w14:paraId="7B64610B" w14:textId="77777777" w:rsidR="0048343E" w:rsidRDefault="0048343E" w:rsidP="0048343E">
      <w:pPr>
        <w:pStyle w:val="BodyText"/>
        <w:spacing w:before="116" w:line="244" w:lineRule="auto"/>
        <w:ind w:right="1230"/>
        <w:jc w:val="both"/>
        <w:rPr>
          <w:w w:val="95"/>
        </w:rPr>
      </w:pPr>
      <w:r>
        <w:t>Yapılan hızlı bir ihtiyaç değerlendirmesi ayrıca, devlet okullarında ciddi yer sıkıntısı olduğunu, özellikle kız çocukları için okullara olan uzun mesafeleri (3 km'den fazla), yerinden edilmiş ve ev sahibi ailelerin güvensiz ve kötü ekonomik koşullarının çocukların eğitim haklarını elde etmelerini engellediğini ortaya koymuştur. Güvensizlik ve uzun mesafeler özellikle kız çocuklarının okula devam etmesini engellemektedir. Bu çocukların güvenli ve koruyucu bir ortamda, psikososyal destekle eşliğinde kaliteli eğitime erişime kritik derecede ihtiyaçları vardır. Yukarıdaki durum hem kadın ve erkeklerin hem de kız ve erkek çocukların hayatlarını bir şekilde etkileyebilir, fakat çocuklar ve kadınlar, akın ve diğer çatışma türlerinden hayatları etkilenen en savunmasız gruplar olarak öne çıkmaktadır. Ev sahibi topluluk okulları aşırı derecede kalabalıklar, çocuklar gün içinde birden fazla grup olarak eğitim görmektedir ve genellikle yeterli altyapı ve öğrenme olanakları mevcut değildir. Sonuç olarak, devlet okulları ilave olarak gelen yerinden edilmiş ve geri dönen çocukları kabul edecek kapasiteye sahip değildir. Bu nedenle topluluklar ve Milli Eğitim Bakanlığı, bu kritik açığı kapatmak ve çocuklarının güvenli ve koruyucu bir ortamda kaliteli eğitime erişimini desteklemek için düzenli olarak organizasyonlardan destek talep etmektedir.</w:t>
      </w:r>
    </w:p>
    <w:p w14:paraId="778C37E0" w14:textId="77777777" w:rsidR="0048343E" w:rsidRDefault="0048343E" w:rsidP="0048343E">
      <w:pPr>
        <w:pStyle w:val="BodyText"/>
        <w:spacing w:before="116" w:line="244" w:lineRule="auto"/>
        <w:ind w:right="1230"/>
        <w:jc w:val="both"/>
        <w:rPr>
          <w:w w:val="95"/>
        </w:rPr>
      </w:pPr>
    </w:p>
    <w:p w14:paraId="4F263CDC" w14:textId="77777777" w:rsidR="0048343E" w:rsidRDefault="0048343E" w:rsidP="0048343E">
      <w:pPr>
        <w:pStyle w:val="BodyText"/>
        <w:spacing w:before="116" w:line="244" w:lineRule="auto"/>
        <w:ind w:right="1230"/>
        <w:jc w:val="both"/>
        <w:rPr>
          <w:w w:val="95"/>
        </w:rPr>
      </w:pPr>
    </w:p>
    <w:p w14:paraId="034F1472" w14:textId="77777777" w:rsidR="0048343E" w:rsidRDefault="0048343E" w:rsidP="0048343E">
      <w:pPr>
        <w:pStyle w:val="BodyText"/>
        <w:spacing w:before="116" w:line="244" w:lineRule="auto"/>
        <w:ind w:right="1230"/>
        <w:jc w:val="both"/>
        <w:rPr>
          <w:w w:val="95"/>
        </w:rPr>
      </w:pPr>
    </w:p>
    <w:p w14:paraId="462E1837" w14:textId="77777777" w:rsidR="00980ABE" w:rsidRDefault="00980ABE" w:rsidP="0048343E">
      <w:pPr>
        <w:pStyle w:val="BodyText"/>
        <w:spacing w:before="116" w:line="244" w:lineRule="auto"/>
        <w:ind w:right="1230"/>
        <w:jc w:val="both"/>
        <w:rPr>
          <w:w w:val="95"/>
        </w:rPr>
      </w:pPr>
    </w:p>
    <w:p w14:paraId="1DF5A7BE" w14:textId="77777777" w:rsidR="00980ABE" w:rsidRDefault="00980ABE" w:rsidP="0048343E">
      <w:pPr>
        <w:pStyle w:val="BodyText"/>
        <w:spacing w:before="116" w:line="244" w:lineRule="auto"/>
        <w:ind w:right="1230"/>
        <w:jc w:val="both"/>
        <w:rPr>
          <w:w w:val="95"/>
        </w:rPr>
      </w:pPr>
    </w:p>
    <w:p w14:paraId="12C2046A" w14:textId="77777777" w:rsidR="00980ABE" w:rsidRDefault="00980ABE" w:rsidP="0048343E">
      <w:pPr>
        <w:pStyle w:val="BodyText"/>
        <w:spacing w:before="116" w:line="244" w:lineRule="auto"/>
        <w:ind w:right="1230"/>
        <w:jc w:val="both"/>
        <w:rPr>
          <w:w w:val="95"/>
        </w:rPr>
      </w:pPr>
    </w:p>
    <w:p w14:paraId="267A5488" w14:textId="77777777" w:rsidR="00980ABE" w:rsidRDefault="00980ABE" w:rsidP="0048343E">
      <w:pPr>
        <w:pStyle w:val="BodyText"/>
        <w:spacing w:before="116" w:line="244" w:lineRule="auto"/>
        <w:ind w:right="1230"/>
        <w:jc w:val="both"/>
        <w:rPr>
          <w:w w:val="95"/>
        </w:rPr>
      </w:pPr>
    </w:p>
    <w:p w14:paraId="12BC1672" w14:textId="77777777" w:rsidR="00980ABE" w:rsidRDefault="00980ABE" w:rsidP="0048343E">
      <w:pPr>
        <w:pStyle w:val="BodyText"/>
        <w:spacing w:before="116" w:line="244" w:lineRule="auto"/>
        <w:ind w:right="1230"/>
        <w:jc w:val="both"/>
        <w:rPr>
          <w:w w:val="95"/>
        </w:rPr>
      </w:pPr>
    </w:p>
    <w:p w14:paraId="6005C32F" w14:textId="77777777" w:rsidR="00980ABE" w:rsidRDefault="00980ABE" w:rsidP="0048343E">
      <w:pPr>
        <w:pStyle w:val="BodyText"/>
        <w:spacing w:before="116" w:line="244" w:lineRule="auto"/>
        <w:ind w:right="1230"/>
        <w:jc w:val="both"/>
        <w:rPr>
          <w:w w:val="95"/>
        </w:rPr>
      </w:pPr>
    </w:p>
    <w:p w14:paraId="09A77BB3" w14:textId="77777777" w:rsidR="00980ABE" w:rsidRDefault="00980ABE" w:rsidP="0048343E">
      <w:pPr>
        <w:pStyle w:val="BodyText"/>
        <w:spacing w:before="116" w:line="244" w:lineRule="auto"/>
        <w:ind w:right="1230"/>
        <w:jc w:val="both"/>
        <w:rPr>
          <w:w w:val="95"/>
        </w:rPr>
      </w:pPr>
    </w:p>
    <w:p w14:paraId="4ABA7894" w14:textId="77777777" w:rsidR="00FE5B0B" w:rsidRDefault="00FE5B0B" w:rsidP="0048343E">
      <w:pPr>
        <w:pStyle w:val="BodyText"/>
        <w:spacing w:before="116" w:line="244" w:lineRule="auto"/>
        <w:ind w:right="1230"/>
        <w:jc w:val="both"/>
        <w:rPr>
          <w:w w:val="95"/>
        </w:rPr>
      </w:pPr>
    </w:p>
    <w:p w14:paraId="07D3DB66" w14:textId="77777777" w:rsidR="00FE5B0B" w:rsidRDefault="00FE5B0B" w:rsidP="0048343E">
      <w:pPr>
        <w:pStyle w:val="BodyText"/>
        <w:spacing w:before="116" w:line="244" w:lineRule="auto"/>
        <w:ind w:right="1230"/>
        <w:jc w:val="both"/>
        <w:rPr>
          <w:w w:val="95"/>
        </w:rPr>
      </w:pPr>
    </w:p>
    <w:p w14:paraId="107A1DE8" w14:textId="77777777" w:rsidR="00FE5B0B" w:rsidRDefault="00FE5B0B" w:rsidP="0048343E">
      <w:pPr>
        <w:pStyle w:val="BodyText"/>
        <w:spacing w:before="116" w:line="244" w:lineRule="auto"/>
        <w:ind w:right="1230"/>
        <w:jc w:val="both"/>
        <w:rPr>
          <w:w w:val="95"/>
        </w:rPr>
      </w:pPr>
    </w:p>
    <w:p w14:paraId="42AF14E3" w14:textId="77777777" w:rsidR="00FE5B0B" w:rsidRDefault="00FE5B0B" w:rsidP="0048343E">
      <w:pPr>
        <w:pStyle w:val="BodyText"/>
        <w:spacing w:before="116" w:line="244" w:lineRule="auto"/>
        <w:ind w:right="1230"/>
        <w:jc w:val="both"/>
        <w:rPr>
          <w:w w:val="95"/>
        </w:rPr>
      </w:pPr>
    </w:p>
    <w:p w14:paraId="7B19C750" w14:textId="77777777" w:rsidR="00FE5B0B" w:rsidRDefault="00FE5B0B" w:rsidP="0048343E">
      <w:pPr>
        <w:pStyle w:val="BodyText"/>
        <w:spacing w:before="116" w:line="244" w:lineRule="auto"/>
        <w:ind w:right="1230"/>
        <w:jc w:val="both"/>
        <w:rPr>
          <w:w w:val="95"/>
        </w:rPr>
      </w:pPr>
    </w:p>
    <w:p w14:paraId="541BF9A4" w14:textId="77777777" w:rsidR="00980ABE" w:rsidRDefault="00980ABE" w:rsidP="0048343E">
      <w:pPr>
        <w:pStyle w:val="BodyText"/>
        <w:spacing w:before="116" w:line="244" w:lineRule="auto"/>
        <w:ind w:right="1230"/>
        <w:jc w:val="both"/>
        <w:rPr>
          <w:w w:val="95"/>
        </w:rPr>
      </w:pPr>
    </w:p>
    <w:p w14:paraId="7DDCF278" w14:textId="77777777" w:rsidR="00980ABE" w:rsidRDefault="00980ABE" w:rsidP="0048343E">
      <w:pPr>
        <w:pStyle w:val="BodyText"/>
        <w:spacing w:before="116" w:line="244" w:lineRule="auto"/>
        <w:ind w:right="1230"/>
        <w:jc w:val="both"/>
        <w:rPr>
          <w:w w:val="95"/>
        </w:rPr>
      </w:pPr>
    </w:p>
    <w:p w14:paraId="0F5F4303" w14:textId="77777777" w:rsidR="00980ABE" w:rsidRDefault="00980ABE" w:rsidP="00980ABE">
      <w:pPr>
        <w:pStyle w:val="Heading1"/>
        <w:tabs>
          <w:tab w:val="left" w:pos="2126"/>
          <w:tab w:val="left" w:pos="2127"/>
        </w:tabs>
        <w:spacing w:before="95"/>
      </w:pPr>
      <w:bookmarkStart w:id="2" w:name="_Toc104396162"/>
      <w:r>
        <w:rPr>
          <w:color w:val="DA291C"/>
        </w:rPr>
        <w:lastRenderedPageBreak/>
        <w:t>PROJE TASARIMI</w:t>
      </w:r>
      <w:bookmarkEnd w:id="2"/>
    </w:p>
    <w:p w14:paraId="549A8AD4" w14:textId="77777777" w:rsidR="00980ABE" w:rsidRDefault="00980ABE" w:rsidP="00980ABE">
      <w:pPr>
        <w:pStyle w:val="Heading3"/>
        <w:spacing w:before="186" w:line="244" w:lineRule="auto"/>
        <w:ind w:left="1418" w:right="1247" w:firstLine="22"/>
      </w:pPr>
      <w:r>
        <w:rPr>
          <w:color w:val="DA291C"/>
        </w:rPr>
        <w:t xml:space="preserve">Genel Amaç Acil durumlarda kaliteli ve kapsayıcı eğitime erişimin iyileştirilmesi ve çatışmalardan etkilenen 5-15 yaş aralığındaki kız ve erkek çocuklar için güvenli bir öğrenme ortamının sağlanması </w:t>
      </w:r>
    </w:p>
    <w:p w14:paraId="47CCBE75" w14:textId="77777777" w:rsidR="00980ABE" w:rsidRDefault="00980ABE" w:rsidP="00980ABE">
      <w:pPr>
        <w:pStyle w:val="BodyText"/>
        <w:spacing w:before="11"/>
        <w:ind w:left="0"/>
        <w:rPr>
          <w:sz w:val="21"/>
        </w:rPr>
      </w:pPr>
    </w:p>
    <w:p w14:paraId="14B3675F" w14:textId="77777777" w:rsidR="00980ABE" w:rsidRDefault="00980ABE" w:rsidP="00980ABE">
      <w:pPr>
        <w:spacing w:line="249" w:lineRule="auto"/>
        <w:ind w:left="1418" w:right="1237"/>
        <w:jc w:val="both"/>
        <w:rPr>
          <w:b/>
          <w:sz w:val="28"/>
        </w:rPr>
      </w:pPr>
      <w:r>
        <w:rPr>
          <w:b/>
          <w:color w:val="DA291C"/>
          <w:sz w:val="28"/>
        </w:rPr>
        <w:t>Sonuç 1: IDP, geri dönen ve ev sahibi topluluktan erkek ve kız çocuklarının kaliteli temel bir eğitime erişiminin artırılması.</w:t>
      </w:r>
    </w:p>
    <w:p w14:paraId="41916B52" w14:textId="77777777" w:rsidR="00980ABE" w:rsidRDefault="00980ABE" w:rsidP="00980ABE">
      <w:pPr>
        <w:pStyle w:val="BodyText"/>
        <w:spacing w:before="153" w:line="244" w:lineRule="auto"/>
        <w:ind w:right="1234"/>
        <w:jc w:val="both"/>
      </w:pPr>
      <w:r>
        <w:t>Sonuç 1'e ulaşma stratejisi, bahsi geçen yerlerde ilkokul ve okul öncesi eğitime kaydolan kız ve erkek çocukların oranının artmasına katkıda bulunması beklenen aşağıdaki müdahale sonuçlarını içermektedir (ayrıca ekteki Mantıksal Çerçeveye bakınız):</w:t>
      </w:r>
    </w:p>
    <w:p w14:paraId="02CF1165" w14:textId="77777777" w:rsidR="00980ABE" w:rsidRDefault="00980ABE" w:rsidP="00980ABE">
      <w:pPr>
        <w:pStyle w:val="BodyText"/>
        <w:spacing w:before="119" w:line="242" w:lineRule="auto"/>
        <w:ind w:right="1234"/>
        <w:jc w:val="both"/>
      </w:pPr>
      <w:r>
        <w:rPr>
          <w:b/>
          <w:u w:val="single"/>
        </w:rPr>
        <w:t xml:space="preserve">Çıktı 1.1. </w:t>
      </w:r>
      <w:r>
        <w:rPr>
          <w:u w:val="single"/>
        </w:rPr>
        <w:t>Okul öncesi eğitim ve CBE/EiE sınıfları kuruldu ve IDP, geri dönen ve ev sahibi topluluk</w:t>
      </w:r>
      <w:r>
        <w:t xml:space="preserve"> </w:t>
      </w:r>
      <w:r>
        <w:rPr>
          <w:u w:val="single"/>
        </w:rPr>
        <w:t>kız ve erkek çocukların kayıtları yapılmıştır</w:t>
      </w:r>
    </w:p>
    <w:p w14:paraId="5CDAF2AE" w14:textId="76E4662D" w:rsidR="00980ABE" w:rsidRDefault="00980ABE" w:rsidP="00980ABE">
      <w:pPr>
        <w:pStyle w:val="BodyText"/>
        <w:spacing w:before="125" w:line="244" w:lineRule="auto"/>
        <w:ind w:right="1232"/>
        <w:jc w:val="both"/>
      </w:pPr>
      <w:r>
        <w:t>Abari'de kız çocuklarının temel eğitim almalarını sağlamak için uygulamada başarılı yöntemlerin yaygınlaştırılması gerekmektedir. Topluluk Temelli Eğitim (CBE), Abari'de okula devam edemeyen çocukların eğitime erişimini genişletmek için en etkili yol olarak kabul edilmektedir ve çeşitli araştırma ve program değerlendirmeleri, CBE'nin çocukların artan okula kayıt, devam ve öğrenmelerinin yanı sıra kayıt ve eğitim başarısı arasındaki cinsiyet eşitsizliğini azalma</w:t>
      </w:r>
      <w:r w:rsidR="00A5267B">
        <w:t xml:space="preserve">ya </w:t>
      </w:r>
      <w:r w:rsidR="00A5267B" w:rsidRPr="00FE5B0B">
        <w:t xml:space="preserve">yardımcı </w:t>
      </w:r>
      <w:r>
        <w:t xml:space="preserve"> olduğunu göstermektedir. CBE'nin, hem örgün okulların tesis edilmesinin hem de kızların örgün eğitime devam etmesinin önünde önemli engellerin bulunduğu kırsal topluluklardaki kız çocuklarının eğitime erişimini teşvik etmek için özellikle etkili bir araç olduğu kanıtlanmıştır. CBE modeli bu sonuçları, ücretsiz eğitimi çocuklara yaklaştıran uygun maliyetli topluluk temelli yaklaşımlarla elde etmektedir. Bu durum, </w:t>
      </w:r>
      <w:r w:rsidR="00A5267B" w:rsidRPr="00FE5B0B">
        <w:t>kız çocukları için özellikle önemlidir, çünkü güvensiz ortamlarda uzun mesafeler yürümenin getirdiği riskleri azaltmak için yürüme mesafesinde eğitim almaları kritik önemdedir</w:t>
      </w:r>
      <w:r>
        <w:t>.</w:t>
      </w:r>
    </w:p>
    <w:p w14:paraId="569CF6BF" w14:textId="77777777" w:rsidR="00980ABE" w:rsidRDefault="00980ABE" w:rsidP="00980ABE">
      <w:pPr>
        <w:pStyle w:val="BodyText"/>
        <w:spacing w:before="3"/>
        <w:ind w:left="0"/>
      </w:pPr>
    </w:p>
    <w:p w14:paraId="5EB2DFB1" w14:textId="3330CDFA" w:rsidR="00980ABE" w:rsidRDefault="00980ABE" w:rsidP="00980ABE">
      <w:pPr>
        <w:pStyle w:val="BodyText"/>
        <w:spacing w:line="244" w:lineRule="auto"/>
        <w:ind w:right="1232"/>
        <w:jc w:val="both"/>
      </w:pPr>
      <w:r>
        <w:t xml:space="preserve">CBE programı </w:t>
      </w:r>
      <w:r>
        <w:rPr>
          <w:i/>
        </w:rPr>
        <w:t xml:space="preserve">(1) </w:t>
      </w:r>
      <w:r>
        <w:rPr>
          <w:b/>
          <w:i/>
        </w:rPr>
        <w:t>yaşları yedi ile dokuz arasında olan çocuklara ilköğretim (birinci sınıftan üçüncü sınıfa kadar) sağlayan Topluluk Temelli Okulları/Sınıfları (CBS’ler)</w:t>
      </w:r>
      <w:r>
        <w:t xml:space="preserve"> içermektedir. Ulusal devlet okullarında verilen eğitimin kalitesini ve tutarlılığını </w:t>
      </w:r>
      <w:r w:rsidR="00A5267B">
        <w:t>sağla</w:t>
      </w:r>
      <w:r>
        <w:t>mak için, tüm CBE sınıfları, MEB politika ve kılavuzlarında açıklanan sınıf seviyesi başına gerekli yıllık saatlere uyacak ve öğretmenlere mesleki gelişim eğitimleri verilecektir.</w:t>
      </w:r>
    </w:p>
    <w:p w14:paraId="0F3C6F22" w14:textId="77777777" w:rsidR="00980ABE" w:rsidRDefault="00980ABE" w:rsidP="00980ABE">
      <w:pPr>
        <w:pStyle w:val="BodyText"/>
        <w:spacing w:before="2"/>
        <w:ind w:left="0"/>
      </w:pPr>
    </w:p>
    <w:p w14:paraId="1C80190F" w14:textId="725AAC96" w:rsidR="00980ABE" w:rsidRPr="00E9403B" w:rsidRDefault="00980ABE" w:rsidP="00980ABE">
      <w:pPr>
        <w:pStyle w:val="BodyText"/>
        <w:spacing w:line="242" w:lineRule="auto"/>
        <w:ind w:right="1230"/>
        <w:jc w:val="both"/>
        <w:rPr>
          <w:w w:val="85"/>
        </w:rPr>
      </w:pPr>
      <w:r>
        <w:t>Revize edilmiş CBE politikası (Ocak 2018) uyarınca minimum paket, (1) Alanların belirlenmesi/topluluk ihtiyaç değerlendirmesi; (2) Topluluk mobilizasyonu ; (3) Eğitim personelinin belirlenmesi; (4) Öğretmenlerin eğitimi; (5) CBE politikası eğitimi; (6) Ders kitapları</w:t>
      </w:r>
      <w:r w:rsidR="00A5267B">
        <w:t>nın ve</w:t>
      </w:r>
      <w:r>
        <w:t xml:space="preserve"> eğitim, öğretim, eğlence ve okul materyallerinin dağıtımı</w:t>
      </w:r>
      <w:r>
        <w:rPr>
          <w:sz w:val="14"/>
        </w:rPr>
        <w:t xml:space="preserve">;12 </w:t>
      </w:r>
      <w:r>
        <w:t>(7) Öğretmen maaşlarının ödenmesi ve (9) Faaliyetlerin denetlenmesi, izlenmesi ve raporlanması dahil olmak üzere bir dizi belirlenmiş faaliyeti içermektedir.</w:t>
      </w:r>
    </w:p>
    <w:p w14:paraId="794E26A4" w14:textId="77777777" w:rsidR="00980ABE" w:rsidRDefault="00980ABE" w:rsidP="00980ABE">
      <w:pPr>
        <w:pStyle w:val="BodyText"/>
        <w:spacing w:before="2"/>
        <w:ind w:left="0"/>
      </w:pPr>
    </w:p>
    <w:p w14:paraId="462D6BBF" w14:textId="77777777" w:rsidR="00980ABE" w:rsidRDefault="00980ABE" w:rsidP="00980ABE">
      <w:pPr>
        <w:pStyle w:val="BodyText"/>
        <w:spacing w:line="244" w:lineRule="auto"/>
        <w:ind w:right="1233"/>
        <w:jc w:val="both"/>
      </w:pPr>
      <w:r>
        <w:t xml:space="preserve">Yukarıdakilerle ilgili olarak, CBE okullarındaki öğrencilerin okul ücreti ödemediği ve gerekli tüm materyal ve ders kitaplarının sağlanması ile, yoksullukla ilişkili erişim engellerinin aşılmasına yardımcı olunduğu </w:t>
      </w:r>
      <w:r>
        <w:lastRenderedPageBreak/>
        <w:t>belirtilmelidir - yani öğrenciler veya aileleri eğitimle ilgili herhangi bir doğrudan maliyeti karşılamak zorunda değildi, bu da yoksulluğun eğitimin önündeki bir engel olarak etkisini azaltmaya yardımcı olur.</w:t>
      </w:r>
    </w:p>
    <w:p w14:paraId="578B5620" w14:textId="77777777" w:rsidR="00980ABE" w:rsidRDefault="00980ABE" w:rsidP="00980ABE">
      <w:pPr>
        <w:pStyle w:val="BodyText"/>
        <w:spacing w:before="3"/>
        <w:ind w:left="0"/>
      </w:pPr>
    </w:p>
    <w:p w14:paraId="1773FE5E" w14:textId="77777777" w:rsidR="00980ABE" w:rsidRDefault="00980ABE" w:rsidP="00980ABE">
      <w:pPr>
        <w:pStyle w:val="BodyText"/>
        <w:spacing w:before="1" w:line="244" w:lineRule="auto"/>
        <w:ind w:right="1232"/>
        <w:jc w:val="both"/>
      </w:pPr>
      <w:r>
        <w:t>Bu bileşen kapsamında XY ve XX, ele alınan tüm bölgelerde xxxx çocuğu (%50'si kız) hedefleyecektir. Bu sayıdaki çocuk xxxxx CBE/EiE sınıflarına yerleştirilecektir. Aynı sayıda öğretmen (xxxxxxxx), kadın öğretmenler odak noktasında tutularak istihdam edilecek ve öğrencilere ders vermek üzere eğitilecektir. Öğretmenlere ayrıca her yıl eğitim setleri verilecektir. Öğrencilere her yıl xxxxxxxxx öğrenme kiti ve xxxxxxxxxx hijyen kiti temin edilecektir xxxxxxx sınıf kiti de her yıl kurulan sınıflara sağlanacaktır.</w:t>
      </w:r>
    </w:p>
    <w:p w14:paraId="57F20F79" w14:textId="77777777" w:rsidR="00980ABE" w:rsidRDefault="00980ABE" w:rsidP="00980ABE">
      <w:pPr>
        <w:pStyle w:val="BodyText"/>
        <w:spacing w:before="4"/>
        <w:ind w:left="0"/>
        <w:rPr>
          <w:sz w:val="32"/>
        </w:rPr>
      </w:pPr>
    </w:p>
    <w:p w14:paraId="7C487F0D" w14:textId="77777777" w:rsidR="00980ABE" w:rsidRDefault="00980ABE" w:rsidP="00980ABE">
      <w:pPr>
        <w:pStyle w:val="BodyText"/>
        <w:spacing w:line="244" w:lineRule="auto"/>
        <w:ind w:right="1232"/>
        <w:jc w:val="both"/>
      </w:pPr>
      <w:r>
        <w:t xml:space="preserve">Abari'de yeni bir kavram olan </w:t>
      </w:r>
      <w:r>
        <w:rPr>
          <w:b/>
        </w:rPr>
        <w:t>Okul Öncesi eğitim</w:t>
      </w:r>
      <w:r>
        <w:t xml:space="preserve">, ilköğretimin ilk yıllarındaki yüksek </w:t>
      </w:r>
      <w:r>
        <w:rPr>
          <w:b/>
        </w:rPr>
        <w:t xml:space="preserve">okul </w:t>
      </w:r>
      <w:r>
        <w:t xml:space="preserve">terki ve okul tekrarı oranları nedeniyle 6 yaşındaki kız ve erkek çocuklara 1. sınıfa başlamadan önce bir 'geçiş yılı' sağlamaktadır. Böylece, CBS'ler üzerinden geleneksel ilkokul eğitimine ek olarak </w:t>
      </w:r>
      <w:r>
        <w:rPr>
          <w:b/>
          <w:i/>
        </w:rPr>
        <w:t xml:space="preserve">bir yıllık toplum temelli okul öncesi eğitim </w:t>
      </w:r>
      <w:r>
        <w:t xml:space="preserve">verilecektir. Okul öncesi sınıflar mevcut CBS'lerin bulunduğu lokasyonların yakınında kurulacaktır. </w:t>
      </w:r>
    </w:p>
    <w:p w14:paraId="043F1DB9" w14:textId="77777777" w:rsidR="00980ABE" w:rsidRDefault="00980ABE" w:rsidP="00980ABE">
      <w:pPr>
        <w:pStyle w:val="BodyText"/>
        <w:spacing w:before="2"/>
        <w:ind w:left="0"/>
      </w:pPr>
    </w:p>
    <w:p w14:paraId="0463E966" w14:textId="77777777" w:rsidR="00980ABE" w:rsidRDefault="00980ABE" w:rsidP="00980ABE">
      <w:pPr>
        <w:pStyle w:val="BodyText"/>
        <w:spacing w:before="8"/>
        <w:ind w:left="0"/>
        <w:rPr>
          <w:sz w:val="32"/>
        </w:rPr>
      </w:pPr>
    </w:p>
    <w:p w14:paraId="07FDA176" w14:textId="77777777" w:rsidR="00980ABE" w:rsidRDefault="00980ABE" w:rsidP="00980ABE">
      <w:pPr>
        <w:pStyle w:val="BodyText"/>
        <w:spacing w:before="1" w:line="244" w:lineRule="auto"/>
        <w:ind w:right="1236"/>
        <w:jc w:val="both"/>
      </w:pPr>
      <w:r>
        <w:rPr>
          <w:b/>
          <w:u w:val="single"/>
        </w:rPr>
        <w:t xml:space="preserve">Çıktı 1.2. </w:t>
      </w:r>
      <w:r>
        <w:rPr>
          <w:u w:val="single"/>
        </w:rPr>
        <w:t>Topluluklar, Okul Yönetim Komiteleri (SMC), Toplum Eğitimi</w:t>
      </w:r>
      <w:r>
        <w:t xml:space="preserve"> </w:t>
      </w:r>
      <w:r>
        <w:rPr>
          <w:u w:val="single"/>
        </w:rPr>
        <w:t>Komiteleri (CECs), Okul Konseyleri (SC) ve dini liderler gibi diğer eğitim paydaşları</w:t>
      </w:r>
      <w:r>
        <w:t xml:space="preserve"> </w:t>
      </w:r>
      <w:r>
        <w:rPr>
          <w:u w:val="single"/>
        </w:rPr>
        <w:t xml:space="preserve">ile yerel liderler topluluğu </w:t>
      </w:r>
      <w:r>
        <w:t xml:space="preserve"> </w:t>
      </w:r>
      <w:r>
        <w:rPr>
          <w:u w:val="single"/>
        </w:rPr>
        <w:t>kız ve erkek çocukların CBE/EiE sınıflarına, anaokullarına ve CFS'lere kaydedilmesi</w:t>
      </w:r>
      <w:r>
        <w:t xml:space="preserve"> konusunda harekete geçirmek ve desteklemek için gerekli eğitimleri ve oryantasyonu alırlar</w:t>
      </w:r>
    </w:p>
    <w:p w14:paraId="2827D036" w14:textId="77777777" w:rsidR="00980ABE" w:rsidRDefault="00980ABE" w:rsidP="00980ABE">
      <w:pPr>
        <w:pStyle w:val="BodyText"/>
        <w:spacing w:before="117" w:line="244" w:lineRule="auto"/>
        <w:ind w:right="1231"/>
        <w:jc w:val="both"/>
        <w:rPr>
          <w:rFonts w:ascii="Arial MT"/>
          <w:sz w:val="16"/>
        </w:rPr>
      </w:pPr>
      <w:r>
        <w:t xml:space="preserve">Burada program, kayıt kampanyaları gibi diğer faaliyetlerin yanı sıra eğitimin önemi, okul öncesi eğitim ve kazandırdıkları, toplumsal cinsiyet, engellilik gibi konularda kilit paydaşların bilinçlendirilmesi ve hassaslaştırılması yoluyla sosyal ve davranışsal değişim iletişimine odaklanacaktır. </w:t>
      </w:r>
    </w:p>
    <w:p w14:paraId="241F530E" w14:textId="77777777" w:rsidR="00980ABE" w:rsidRDefault="00980ABE" w:rsidP="00980ABE">
      <w:pPr>
        <w:rPr>
          <w:rFonts w:ascii="Arial MT"/>
          <w:sz w:val="16"/>
        </w:rPr>
      </w:pPr>
    </w:p>
    <w:p w14:paraId="60C20F5C" w14:textId="77777777" w:rsidR="00980ABE" w:rsidRDefault="00980ABE" w:rsidP="00980ABE">
      <w:pPr>
        <w:rPr>
          <w:rFonts w:ascii="Arial MT"/>
          <w:sz w:val="16"/>
        </w:rPr>
      </w:pPr>
    </w:p>
    <w:p w14:paraId="0FD41D02" w14:textId="77777777" w:rsidR="00980ABE" w:rsidRDefault="00980ABE" w:rsidP="00980ABE">
      <w:pPr>
        <w:pStyle w:val="BodyText"/>
        <w:spacing w:before="1"/>
        <w:ind w:right="1232"/>
        <w:jc w:val="both"/>
        <w:rPr>
          <w:b/>
        </w:rPr>
      </w:pPr>
      <w:r>
        <w:rPr>
          <w:b/>
          <w:u w:val="single"/>
        </w:rPr>
        <w:t xml:space="preserve">Çıktı 1.3. </w:t>
      </w:r>
      <w:r>
        <w:rPr>
          <w:u w:val="single"/>
        </w:rPr>
        <w:t>Acil durumdan etkilenen topluluklara yaşlarına uygun eğitim ve öğrenim materyalleri sağlanmaktadır</w:t>
      </w:r>
      <w:r>
        <w:rPr>
          <w:b/>
          <w:u w:val="single"/>
        </w:rPr>
        <w:t>.</w:t>
      </w:r>
    </w:p>
    <w:p w14:paraId="57698E5F" w14:textId="77777777" w:rsidR="00980ABE" w:rsidRDefault="00980ABE" w:rsidP="00980ABE">
      <w:pPr>
        <w:pStyle w:val="BodyText"/>
        <w:spacing w:before="10"/>
        <w:ind w:left="0"/>
        <w:rPr>
          <w:b/>
          <w:sz w:val="21"/>
        </w:rPr>
      </w:pPr>
    </w:p>
    <w:p w14:paraId="0787B8A5" w14:textId="77777777" w:rsidR="00980ABE" w:rsidRDefault="00980ABE" w:rsidP="00980ABE">
      <w:pPr>
        <w:pStyle w:val="BodyText"/>
        <w:ind w:right="1232"/>
        <w:jc w:val="both"/>
      </w:pPr>
      <w:r>
        <w:t xml:space="preserve">Öğrenciler ve öğretmenler için son ulusal müfredat CBE'lerde (1-3. sınıflar) uygulanacak olsa da, bu faaliyetlerin acil durum odaklı olması, bağlama özgü, acil durumla ilgili ek öğretim materyalleri ve modüllerinin geliştirilmesini ve uyarlanmasını gerektirmektedir. Bu, öğretmenler için psikososyal eğitim materyallerinin yanı sıra barış eğitimi, hijyen eğitimi ve afet riskinin azaltılması ile ilgili öğretme ve öğrenme materyallerini içermekle birlikte bunlarla sınırlı değildir. </w:t>
      </w:r>
    </w:p>
    <w:p w14:paraId="56D3F32D" w14:textId="77777777" w:rsidR="00980ABE" w:rsidRDefault="00980ABE" w:rsidP="00980ABE">
      <w:pPr>
        <w:pStyle w:val="BodyText"/>
        <w:spacing w:before="1"/>
        <w:ind w:right="1231"/>
        <w:jc w:val="both"/>
        <w:rPr>
          <w:w w:val="85"/>
        </w:rPr>
      </w:pPr>
      <w:r>
        <w:t>Bu, ilk yıl MEB'in mevcut öğretmen ve öğrenme materyallerini kullanacağımız anlamına gelmektedir (yeni öğretme ve öğrenme materyalleri geliştirilmektedir), 2. ve 3. yıl için bu program CBE'lerde ek EiE konu ve bağlama özgü materyalleri ve modülleri uygulayacak ve yaygınlaştıracak ve bunu yıllık öğretmen eğitimleri kapsamına dahil edecektir. Öğrenme materyallerinin öğrenme güçlüğü çeken öğrenciler için de olabildiğince uygun nitelikte olmasına dikkat edilecektir.</w:t>
      </w:r>
    </w:p>
    <w:p w14:paraId="4E0EA08C" w14:textId="77777777" w:rsidR="00B908F8" w:rsidRDefault="00B908F8" w:rsidP="00980ABE">
      <w:pPr>
        <w:pStyle w:val="BodyText"/>
        <w:spacing w:before="1"/>
        <w:ind w:right="1231"/>
        <w:jc w:val="both"/>
        <w:rPr>
          <w:w w:val="85"/>
        </w:rPr>
      </w:pPr>
    </w:p>
    <w:p w14:paraId="73A49041" w14:textId="77777777" w:rsidR="00B908F8" w:rsidRDefault="00B908F8" w:rsidP="00980ABE">
      <w:pPr>
        <w:pStyle w:val="BodyText"/>
        <w:spacing w:before="1"/>
        <w:ind w:right="1231"/>
        <w:jc w:val="both"/>
        <w:rPr>
          <w:w w:val="85"/>
        </w:rPr>
      </w:pPr>
    </w:p>
    <w:p w14:paraId="0B3F01C1" w14:textId="77777777" w:rsidR="00B908F8" w:rsidRDefault="00B908F8" w:rsidP="00B908F8">
      <w:pPr>
        <w:pStyle w:val="BodyText"/>
        <w:spacing w:before="9"/>
        <w:ind w:left="0"/>
        <w:rPr>
          <w:sz w:val="21"/>
        </w:rPr>
      </w:pPr>
    </w:p>
    <w:p w14:paraId="0B331193" w14:textId="252D2AE0" w:rsidR="00B908F8" w:rsidRDefault="00B908F8" w:rsidP="00B908F8">
      <w:pPr>
        <w:ind w:left="1418" w:right="996"/>
        <w:rPr>
          <w:b/>
          <w:sz w:val="28"/>
        </w:rPr>
      </w:pPr>
      <w:r>
        <w:rPr>
          <w:b/>
          <w:color w:val="FF0000"/>
          <w:sz w:val="28"/>
        </w:rPr>
        <w:t>Sonuç 2: Acil durumdan etkilenen kız ve erkek çocuklar için Eğitimin Sürekliliği</w:t>
      </w:r>
      <w:r w:rsidR="00A5267B">
        <w:rPr>
          <w:b/>
          <w:color w:val="FF0000"/>
          <w:sz w:val="28"/>
        </w:rPr>
        <w:t>nin</w:t>
      </w:r>
      <w:r>
        <w:rPr>
          <w:b/>
          <w:color w:val="FF0000"/>
          <w:sz w:val="28"/>
        </w:rPr>
        <w:t xml:space="preserve"> artırılmış olması</w:t>
      </w:r>
    </w:p>
    <w:p w14:paraId="4135DA51" w14:textId="77777777" w:rsidR="00B908F8" w:rsidRDefault="00B908F8" w:rsidP="00B908F8">
      <w:pPr>
        <w:pStyle w:val="BodyText"/>
        <w:ind w:left="0"/>
        <w:rPr>
          <w:b/>
          <w:sz w:val="28"/>
        </w:rPr>
      </w:pPr>
    </w:p>
    <w:p w14:paraId="4A052BD1" w14:textId="77777777" w:rsidR="00B908F8" w:rsidRDefault="00B908F8" w:rsidP="00B908F8">
      <w:pPr>
        <w:pStyle w:val="BodyText"/>
        <w:spacing w:before="1"/>
        <w:ind w:right="1229"/>
        <w:jc w:val="both"/>
      </w:pPr>
      <w:r>
        <w:t>Bu çıktı kapsamındaki müdahaleler, CBS'lerde sağlanan eğitimleri tamamladıktan sonra ulusal resmi devlet okulu sistemi içinde daha yüksek sınıflara sorunsuz bir geçiş sağlayarak kız ve erkek çocuklar için sürekli ve sürdürülebilir bir eğitim yolu elde etmeyi hedeflemektedir.</w:t>
      </w:r>
    </w:p>
    <w:p w14:paraId="436EDB53" w14:textId="77777777" w:rsidR="00B908F8" w:rsidRDefault="00B908F8" w:rsidP="00B908F8">
      <w:pPr>
        <w:pStyle w:val="BodyText"/>
        <w:spacing w:before="9"/>
        <w:ind w:left="0"/>
        <w:rPr>
          <w:sz w:val="21"/>
        </w:rPr>
      </w:pPr>
    </w:p>
    <w:p w14:paraId="0EE0D64C" w14:textId="77777777" w:rsidR="00B908F8" w:rsidRDefault="00B908F8" w:rsidP="00B908F8">
      <w:pPr>
        <w:pStyle w:val="BodyText"/>
        <w:ind w:right="996"/>
      </w:pPr>
      <w:r>
        <w:rPr>
          <w:b/>
          <w:u w:val="single"/>
        </w:rPr>
        <w:t xml:space="preserve">Çıktı 2.1: </w:t>
      </w:r>
      <w:r>
        <w:t xml:space="preserve">CBE'lere kayıtlı </w:t>
      </w:r>
      <w:r>
        <w:rPr>
          <w:u w:val="single"/>
        </w:rPr>
        <w:t>kız çocuklarının</w:t>
      </w:r>
      <w:r>
        <w:t xml:space="preserve"> </w:t>
      </w:r>
      <w:r>
        <w:rPr>
          <w:u w:val="single"/>
        </w:rPr>
        <w:t xml:space="preserve">ve </w:t>
      </w:r>
      <w:r>
        <w:t xml:space="preserve">erkek çocukların üst sınıflara geçişi için </w:t>
      </w:r>
      <w:r>
        <w:rPr>
          <w:u w:val="single"/>
        </w:rPr>
        <w:t xml:space="preserve">Milli Eğitim Bakanlığı ve merkezi okullar ile etkin koordinasyon ve bilgi paylaşımı </w:t>
      </w:r>
    </w:p>
    <w:p w14:paraId="6289DE99" w14:textId="77777777" w:rsidR="00B908F8" w:rsidRDefault="00B908F8" w:rsidP="00B908F8">
      <w:pPr>
        <w:pStyle w:val="BodyText"/>
        <w:spacing w:before="11"/>
        <w:ind w:left="0"/>
        <w:rPr>
          <w:sz w:val="13"/>
        </w:rPr>
      </w:pPr>
    </w:p>
    <w:p w14:paraId="5E2D8E3D" w14:textId="77777777" w:rsidR="00B908F8" w:rsidRDefault="00B908F8" w:rsidP="00B908F8">
      <w:pPr>
        <w:pStyle w:val="BodyText"/>
        <w:spacing w:before="98" w:line="244" w:lineRule="auto"/>
        <w:ind w:right="1233"/>
        <w:jc w:val="both"/>
      </w:pPr>
      <w:r>
        <w:t>CBE'lerden merkezi okullara sorunsuz bir geçiş sağlamak için etkin bir devamlılık takip sisteminin kurulması ve CBE'lerdeki öğrenci gelişiminin izlenmesi gibi faaliyetler gerçekleştirilecektir. Bu faaliyetler düzenli olarak Milli Eğitim Bakanlığı ile paylaşılacaktır. Milli Eğitim Bakanlığı, CBE'yi tamamladıktan sonra resmi devlet okullarına kayıt yaptırabilmelerini sağlamak için CBE'den gelen her bir öğrenciye bir kayıt numarası tahsis edecektir.</w:t>
      </w:r>
    </w:p>
    <w:p w14:paraId="14B6A144" w14:textId="77777777" w:rsidR="00B908F8" w:rsidRDefault="00B908F8" w:rsidP="00B908F8">
      <w:pPr>
        <w:pStyle w:val="BodyText"/>
        <w:spacing w:before="2"/>
        <w:ind w:left="0"/>
      </w:pPr>
    </w:p>
    <w:p w14:paraId="3D555EC8" w14:textId="4F4E5E55" w:rsidR="00B908F8" w:rsidRDefault="00B908F8" w:rsidP="00B908F8">
      <w:pPr>
        <w:pStyle w:val="BodyText"/>
        <w:spacing w:line="244" w:lineRule="auto"/>
        <w:ind w:right="1232"/>
        <w:jc w:val="both"/>
      </w:pPr>
      <w:r>
        <w:t>Buna ek olarak, CBE'nin tamamlanmasının ardından öğrencilerin daha üst sınıflara geçişini teşvik etmek amacıyla organizasyon, merkezi okula değişim ziyaretleri organize edecektir. Bu, geçişi teşvik etmek ve kalıcılığı artırmak amacıyla - CBE'yi tamamladıktan sonra okulu bırakmaları önlemek amacıyla öğrencileri CBE'den örgün okul ortamına hazırlayacak</w:t>
      </w:r>
      <w:r w:rsidR="00A5267B">
        <w:t>tır</w:t>
      </w:r>
      <w:r>
        <w:t>.</w:t>
      </w:r>
    </w:p>
    <w:p w14:paraId="0F21F786" w14:textId="77777777" w:rsidR="00B908F8" w:rsidRDefault="00B908F8" w:rsidP="00B908F8">
      <w:pPr>
        <w:pStyle w:val="BodyText"/>
        <w:spacing w:before="10"/>
        <w:ind w:left="0"/>
      </w:pPr>
    </w:p>
    <w:p w14:paraId="2521937E" w14:textId="77777777" w:rsidR="00B908F8" w:rsidRDefault="00B908F8" w:rsidP="00B908F8">
      <w:pPr>
        <w:pStyle w:val="BodyText"/>
        <w:ind w:left="0"/>
        <w:rPr>
          <w:sz w:val="26"/>
        </w:rPr>
      </w:pPr>
    </w:p>
    <w:p w14:paraId="14240B03" w14:textId="1B9BDC3F" w:rsidR="00B908F8" w:rsidRDefault="00B908F8" w:rsidP="00B908F8">
      <w:pPr>
        <w:pStyle w:val="BodyText"/>
        <w:spacing w:before="198"/>
        <w:ind w:right="1229"/>
        <w:jc w:val="both"/>
      </w:pPr>
      <w:r>
        <w:rPr>
          <w:b/>
          <w:u w:val="single"/>
        </w:rPr>
        <w:t xml:space="preserve">Çıktı 2.2: </w:t>
      </w:r>
      <w:r>
        <w:rPr>
          <w:u w:val="single"/>
        </w:rPr>
        <w:t>Merkezi okullardaki öğretmenler</w:t>
      </w:r>
      <w:r w:rsidR="00A5267B">
        <w:rPr>
          <w:u w:val="single"/>
        </w:rPr>
        <w:t>in</w:t>
      </w:r>
      <w:r>
        <w:rPr>
          <w:u w:val="single"/>
        </w:rPr>
        <w:t xml:space="preserve"> çocuk dostu</w:t>
      </w:r>
      <w:r>
        <w:t xml:space="preserve">, toplumsal </w:t>
      </w:r>
      <w:r>
        <w:rPr>
          <w:u w:val="single"/>
        </w:rPr>
        <w:t>cinsiyete duyarlı ve kapsayıcı öğretim metodolojileri konusundaki mesleki gelişimden imkanlarından faydalan</w:t>
      </w:r>
      <w:r w:rsidR="00A5267B">
        <w:rPr>
          <w:u w:val="single"/>
        </w:rPr>
        <w:t>ması</w:t>
      </w:r>
    </w:p>
    <w:p w14:paraId="45C73B72" w14:textId="77777777" w:rsidR="00B908F8" w:rsidRDefault="00B908F8" w:rsidP="00B908F8">
      <w:pPr>
        <w:pStyle w:val="BodyText"/>
        <w:spacing w:before="10"/>
        <w:ind w:left="0"/>
        <w:rPr>
          <w:sz w:val="13"/>
        </w:rPr>
      </w:pPr>
    </w:p>
    <w:p w14:paraId="07405797" w14:textId="77777777" w:rsidR="00B908F8" w:rsidRPr="00EE597F" w:rsidRDefault="00B908F8" w:rsidP="00B908F8">
      <w:pPr>
        <w:pStyle w:val="BodyText"/>
        <w:spacing w:before="98" w:line="244" w:lineRule="auto"/>
        <w:ind w:right="1235"/>
        <w:jc w:val="both"/>
        <w:rPr>
          <w:w w:val="85"/>
        </w:rPr>
      </w:pPr>
      <w:r>
        <w:t>Spesifik faaliyetler, öğrencilerin sosyal yardım sınıflarından bu ulusal resmi/devlet okullarına sorunsuz geçiş sürecini kolaylaştırmak ve bu geçişe katkıda bulunmak için merkezi okul öğretmenlerini hedefleyecektir. Bu, öğrenci geçiş planlaması ve ilgili kılavuz ve süreçlerle ilgili eğitim, oryantasyon ve planlama oturumları aracılığıyla gerçekleştirilecektir. Öğretim personeli ayrıca, öğrenmelerini desteklemek ve okulu bırakmalarını önlemek için farklı öğrenme güçlükleri olan çocukları nasıl destekleyecekleri konusunda beceriler de edineceklerdir.</w:t>
      </w:r>
    </w:p>
    <w:p w14:paraId="7859FF4B" w14:textId="77777777" w:rsidR="00B908F8" w:rsidRDefault="00B908F8" w:rsidP="00980ABE">
      <w:pPr>
        <w:pStyle w:val="BodyText"/>
        <w:spacing w:before="1"/>
        <w:ind w:right="1231"/>
        <w:jc w:val="both"/>
        <w:rPr>
          <w:w w:val="85"/>
        </w:rPr>
      </w:pPr>
    </w:p>
    <w:p w14:paraId="3C3FB507" w14:textId="77777777" w:rsidR="00B908F8" w:rsidRDefault="00B908F8" w:rsidP="00980ABE">
      <w:pPr>
        <w:pStyle w:val="BodyText"/>
        <w:spacing w:before="1"/>
        <w:ind w:right="1231"/>
        <w:jc w:val="both"/>
        <w:rPr>
          <w:w w:val="85"/>
        </w:rPr>
      </w:pPr>
    </w:p>
    <w:p w14:paraId="5D7FB3FA" w14:textId="77777777" w:rsidR="00B908F8" w:rsidRDefault="00B908F8" w:rsidP="00980ABE">
      <w:pPr>
        <w:pStyle w:val="BodyText"/>
        <w:spacing w:before="1"/>
        <w:ind w:right="1231"/>
        <w:jc w:val="both"/>
        <w:rPr>
          <w:w w:val="85"/>
        </w:rPr>
      </w:pPr>
    </w:p>
    <w:p w14:paraId="0F75DA65" w14:textId="10155DC7" w:rsidR="0080061A" w:rsidRPr="0080061A" w:rsidRDefault="0080061A" w:rsidP="0080061A">
      <w:pPr>
        <w:spacing w:before="185"/>
        <w:ind w:left="1418" w:right="1236"/>
        <w:jc w:val="both"/>
        <w:rPr>
          <w:b/>
          <w:sz w:val="28"/>
        </w:rPr>
      </w:pPr>
      <w:r>
        <w:rPr>
          <w:b/>
          <w:color w:val="FF0000"/>
          <w:sz w:val="28"/>
        </w:rPr>
        <w:t>Sonuç 4: Acil durumdan etkilenen kız ve erkek çocukların öğrenim kalitesi</w:t>
      </w:r>
      <w:r w:rsidR="00A5267B">
        <w:rPr>
          <w:b/>
          <w:color w:val="FF0000"/>
          <w:sz w:val="28"/>
        </w:rPr>
        <w:t>nin</w:t>
      </w:r>
      <w:r>
        <w:rPr>
          <w:b/>
          <w:color w:val="FF0000"/>
          <w:sz w:val="28"/>
        </w:rPr>
        <w:t xml:space="preserve"> artırılmış olması</w:t>
      </w:r>
    </w:p>
    <w:p w14:paraId="37481D00" w14:textId="77777777" w:rsidR="0080061A" w:rsidRPr="0080061A" w:rsidRDefault="0080061A" w:rsidP="0080061A">
      <w:pPr>
        <w:pStyle w:val="Heading3"/>
        <w:spacing w:before="202"/>
        <w:ind w:left="1418" w:right="1231"/>
        <w:rPr>
          <w:rFonts w:ascii="Trebuchet MS" w:hAnsi="Trebuchet MS"/>
          <w:b/>
          <w:color w:val="auto"/>
          <w:sz w:val="22"/>
          <w:szCs w:val="22"/>
        </w:rPr>
      </w:pPr>
      <w:r>
        <w:rPr>
          <w:rFonts w:ascii="Trebuchet MS" w:hAnsi="Trebuchet MS"/>
          <w:color w:val="auto"/>
          <w:sz w:val="22"/>
          <w:u w:val="single"/>
        </w:rPr>
        <w:lastRenderedPageBreak/>
        <w:t>Çıktı 3.1:</w:t>
      </w:r>
      <w:r>
        <w:rPr>
          <w:rFonts w:ascii="Trebuchet MS" w:hAnsi="Trebuchet MS"/>
          <w:color w:val="auto"/>
          <w:sz w:val="22"/>
        </w:rPr>
        <w:t xml:space="preserve"> Şunların kapasitesi artırıldı: </w:t>
      </w:r>
      <w:r>
        <w:rPr>
          <w:rFonts w:ascii="Trebuchet MS" w:hAnsi="Trebuchet MS"/>
          <w:color w:val="auto"/>
          <w:sz w:val="22"/>
          <w:u w:val="single"/>
        </w:rPr>
        <w:t>PAYDAŞLAR</w:t>
      </w:r>
      <w:r>
        <w:rPr>
          <w:rFonts w:ascii="Trebuchet MS" w:hAnsi="Trebuchet MS"/>
          <w:color w:val="auto"/>
          <w:sz w:val="22"/>
        </w:rPr>
        <w:t xml:space="preserve"> öğretmenler, okul öncesi öğretmenleri, program personeli, ortaklar ve CPAN üyeleri, eğitimler vererek, tecrübe paylaşım atölye çalışmaları düzenleyerek ve çıkarılan dersler etkinlikleri gerçekleştirerek.</w:t>
      </w:r>
    </w:p>
    <w:p w14:paraId="648D4757" w14:textId="77777777" w:rsidR="0080061A" w:rsidRDefault="0080061A" w:rsidP="0080061A">
      <w:pPr>
        <w:pStyle w:val="BodyText"/>
        <w:spacing w:before="2"/>
        <w:ind w:left="0"/>
      </w:pPr>
    </w:p>
    <w:p w14:paraId="1AF6B33E" w14:textId="77777777" w:rsidR="0080061A" w:rsidRDefault="0080061A" w:rsidP="0080061A">
      <w:pPr>
        <w:pStyle w:val="BodyText"/>
        <w:spacing w:line="242" w:lineRule="auto"/>
        <w:ind w:right="1247"/>
      </w:pPr>
      <w:r>
        <w:t>Bu stratejik sonuç kapsamındaki müdahaleler, öğretim ve destek personelinin öğretim yetkinliklerinin geliştirilmesine katkıda bulunacaktır.</w:t>
      </w:r>
    </w:p>
    <w:p w14:paraId="054714D0" w14:textId="77777777" w:rsidR="0080061A" w:rsidRDefault="0080061A" w:rsidP="0080061A">
      <w:pPr>
        <w:pStyle w:val="BodyText"/>
        <w:spacing w:before="125" w:line="242" w:lineRule="auto"/>
      </w:pPr>
      <w:r>
        <w:t>Öğretmenler, aşağıdaki konular hakkında kapsamlı bir öğretmen eğitimi içeren yakın zamanda güncellenmiş standardize Milli Eğitim Bakanlığı paketi konusunda eğitilecektir:</w:t>
      </w:r>
    </w:p>
    <w:p w14:paraId="12F62763" w14:textId="77777777" w:rsidR="0080061A" w:rsidRDefault="0080061A" w:rsidP="0080061A">
      <w:pPr>
        <w:pStyle w:val="ListParagraph"/>
        <w:numPr>
          <w:ilvl w:val="0"/>
          <w:numId w:val="2"/>
        </w:numPr>
        <w:tabs>
          <w:tab w:val="left" w:pos="2138"/>
          <w:tab w:val="left" w:pos="2139"/>
        </w:tabs>
        <w:spacing w:before="120"/>
        <w:ind w:hanging="361"/>
      </w:pPr>
      <w:r>
        <w:t>Metodoloji</w:t>
      </w:r>
    </w:p>
    <w:p w14:paraId="0851C0CF" w14:textId="77777777" w:rsidR="0080061A" w:rsidRDefault="0080061A" w:rsidP="0080061A">
      <w:pPr>
        <w:pStyle w:val="ListParagraph"/>
        <w:numPr>
          <w:ilvl w:val="0"/>
          <w:numId w:val="2"/>
        </w:numPr>
        <w:tabs>
          <w:tab w:val="left" w:pos="2138"/>
          <w:tab w:val="left" w:pos="2139"/>
        </w:tabs>
        <w:spacing w:before="3"/>
        <w:ind w:hanging="361"/>
      </w:pPr>
      <w:r>
        <w:t>Öğretmeye yönlendirme</w:t>
      </w:r>
    </w:p>
    <w:p w14:paraId="435E6F62" w14:textId="77777777" w:rsidR="0080061A" w:rsidRDefault="0080061A" w:rsidP="0080061A">
      <w:pPr>
        <w:pStyle w:val="ListParagraph"/>
        <w:numPr>
          <w:ilvl w:val="0"/>
          <w:numId w:val="2"/>
        </w:numPr>
        <w:tabs>
          <w:tab w:val="left" w:pos="2138"/>
          <w:tab w:val="left" w:pos="2139"/>
        </w:tabs>
        <w:spacing w:before="2"/>
        <w:ind w:hanging="361"/>
      </w:pPr>
      <w:r>
        <w:t>Yıllık ders planlaması</w:t>
      </w:r>
    </w:p>
    <w:p w14:paraId="18E3E68F" w14:textId="77777777" w:rsidR="0080061A" w:rsidRDefault="0080061A" w:rsidP="0080061A">
      <w:pPr>
        <w:pStyle w:val="ListParagraph"/>
        <w:numPr>
          <w:ilvl w:val="0"/>
          <w:numId w:val="2"/>
        </w:numPr>
        <w:tabs>
          <w:tab w:val="left" w:pos="2138"/>
          <w:tab w:val="left" w:pos="2139"/>
        </w:tabs>
        <w:spacing w:before="1"/>
        <w:ind w:hanging="361"/>
      </w:pPr>
      <w:r>
        <w:t>Okul yönetimi</w:t>
      </w:r>
    </w:p>
    <w:p w14:paraId="7A10BB43" w14:textId="77777777" w:rsidR="0080061A" w:rsidRDefault="0080061A" w:rsidP="0080061A">
      <w:pPr>
        <w:pStyle w:val="ListParagraph"/>
        <w:numPr>
          <w:ilvl w:val="0"/>
          <w:numId w:val="2"/>
        </w:numPr>
        <w:tabs>
          <w:tab w:val="left" w:pos="2138"/>
          <w:tab w:val="left" w:pos="2139"/>
        </w:tabs>
        <w:spacing w:before="2"/>
        <w:ind w:hanging="361"/>
      </w:pPr>
      <w:r>
        <w:t>Toplumsal cinsiyet</w:t>
      </w:r>
    </w:p>
    <w:p w14:paraId="6EECE5D5" w14:textId="77777777" w:rsidR="0080061A" w:rsidRDefault="0080061A" w:rsidP="0080061A">
      <w:pPr>
        <w:pStyle w:val="ListParagraph"/>
        <w:numPr>
          <w:ilvl w:val="0"/>
          <w:numId w:val="2"/>
        </w:numPr>
        <w:tabs>
          <w:tab w:val="left" w:pos="2138"/>
          <w:tab w:val="left" w:pos="2139"/>
        </w:tabs>
        <w:spacing w:before="1"/>
        <w:ind w:hanging="361"/>
      </w:pPr>
      <w:r>
        <w:t>Çocuklara okumayı öğretmek</w:t>
      </w:r>
    </w:p>
    <w:p w14:paraId="113A1D2F" w14:textId="77777777" w:rsidR="0080061A" w:rsidRDefault="0080061A" w:rsidP="0080061A">
      <w:pPr>
        <w:pStyle w:val="ListParagraph"/>
        <w:numPr>
          <w:ilvl w:val="0"/>
          <w:numId w:val="2"/>
        </w:numPr>
        <w:tabs>
          <w:tab w:val="left" w:pos="2138"/>
          <w:tab w:val="left" w:pos="2139"/>
        </w:tabs>
        <w:spacing w:before="3"/>
        <w:ind w:hanging="361"/>
      </w:pPr>
      <w:r>
        <w:t>Çatışma çözümü</w:t>
      </w:r>
    </w:p>
    <w:p w14:paraId="7D7E50D6" w14:textId="77777777" w:rsidR="0080061A" w:rsidRDefault="0080061A" w:rsidP="0080061A">
      <w:pPr>
        <w:pStyle w:val="BodyText"/>
        <w:spacing w:before="118" w:line="244" w:lineRule="auto"/>
        <w:ind w:right="1236"/>
        <w:jc w:val="both"/>
      </w:pPr>
      <w:r>
        <w:t>Sistemlerin güçlendirilmesine katkıda bulunmak amacıyla organizasyon, Bölge Eğitim personelini sınıflarda kaliteli öğrenme ve öğretmeyi izleme ve denetleme konusunda eğitecektir.</w:t>
      </w:r>
    </w:p>
    <w:p w14:paraId="7FAB4A27" w14:textId="77777777" w:rsidR="00B908F8" w:rsidRDefault="00B908F8" w:rsidP="00980ABE">
      <w:pPr>
        <w:pStyle w:val="BodyText"/>
        <w:spacing w:before="1"/>
        <w:ind w:right="1231"/>
        <w:jc w:val="both"/>
        <w:rPr>
          <w:w w:val="85"/>
        </w:rPr>
      </w:pPr>
    </w:p>
    <w:p w14:paraId="27BDADD7" w14:textId="77777777" w:rsidR="00CB143E" w:rsidRDefault="00CB143E" w:rsidP="00980ABE">
      <w:pPr>
        <w:pStyle w:val="BodyText"/>
        <w:spacing w:before="1"/>
        <w:ind w:right="1231"/>
        <w:jc w:val="both"/>
        <w:rPr>
          <w:w w:val="85"/>
        </w:rPr>
      </w:pPr>
    </w:p>
    <w:p w14:paraId="32C2EA92" w14:textId="77777777" w:rsidR="00CB143E" w:rsidRDefault="00CB143E" w:rsidP="00CB143E">
      <w:pPr>
        <w:pStyle w:val="BodyText"/>
        <w:spacing w:before="1"/>
      </w:pPr>
      <w:r>
        <w:rPr>
          <w:b/>
          <w:u w:val="single"/>
        </w:rPr>
        <w:t xml:space="preserve">Çıktı 3.2: </w:t>
      </w:r>
      <w:r>
        <w:rPr>
          <w:u w:val="single"/>
        </w:rPr>
        <w:t>CBE'lerde öğrencilerin öğrenme seviyesi düzenli olarak değerlendirilir</w:t>
      </w:r>
    </w:p>
    <w:p w14:paraId="7AADB83B" w14:textId="77777777" w:rsidR="00CB143E" w:rsidRDefault="00CB143E" w:rsidP="00CB143E">
      <w:pPr>
        <w:pStyle w:val="BodyText"/>
        <w:ind w:left="0"/>
      </w:pPr>
    </w:p>
    <w:p w14:paraId="75819D6D" w14:textId="455D2A23" w:rsidR="00CB143E" w:rsidRDefault="00CB143E" w:rsidP="00CB143E">
      <w:pPr>
        <w:pStyle w:val="BodyText"/>
        <w:ind w:right="1238"/>
        <w:jc w:val="both"/>
      </w:pPr>
      <w:r>
        <w:t>Öğrenciler, CBE'lere kayıt olurken doğru sınıfa yerleştiril</w:t>
      </w:r>
      <w:r w:rsidR="00A5267B">
        <w:t>mek</w:t>
      </w:r>
      <w:r>
        <w:t xml:space="preserve"> için kabul edilen bir araç kullanılarak değerlendirmeye tabi tutulur. Buna ek olarak organizasyon, projenin başlangıcında ve her akademik yılın sonunda okuryazarlık ve aritmetik konusundaki ilerlemeyi izlemek için öğrenme çıktılarının bir değerlendirmesini yapacaktır.</w:t>
      </w:r>
    </w:p>
    <w:p w14:paraId="08815151" w14:textId="77777777" w:rsidR="00CB143E" w:rsidRDefault="00CB143E" w:rsidP="00CB143E">
      <w:pPr>
        <w:pStyle w:val="BodyText"/>
        <w:spacing w:before="10"/>
        <w:ind w:left="0"/>
        <w:rPr>
          <w:sz w:val="21"/>
        </w:rPr>
      </w:pPr>
    </w:p>
    <w:p w14:paraId="6419477F" w14:textId="77777777" w:rsidR="00CB143E" w:rsidRDefault="00CB143E" w:rsidP="00CB143E">
      <w:pPr>
        <w:pStyle w:val="BodyText"/>
        <w:ind w:right="1231"/>
        <w:jc w:val="both"/>
      </w:pPr>
      <w:r>
        <w:t>İlaveten, organizasyon öğretmenlerle yakın bir şekilde çalışacak ve öğrenme çıktılarının sınıf içinde düzenli olarak gayri resmi bir şekilde değerlendirilmesini sağlamak amacıyla sürekli olarak destek sağlayacaktır. Bu, öğretmenlerin çocukların ihtiyaçlarına göre öğrenimi uyarlamalarına imkan sağlayacaktır.</w:t>
      </w:r>
    </w:p>
    <w:p w14:paraId="38D8C062" w14:textId="77777777" w:rsidR="00CB143E" w:rsidRDefault="00CB143E" w:rsidP="00CB143E">
      <w:pPr>
        <w:pStyle w:val="BodyText"/>
        <w:spacing w:before="9"/>
        <w:ind w:left="0"/>
        <w:rPr>
          <w:sz w:val="21"/>
        </w:rPr>
      </w:pPr>
    </w:p>
    <w:p w14:paraId="6E5942FF" w14:textId="77777777" w:rsidR="00CB143E" w:rsidRDefault="00CB143E" w:rsidP="00CB143E">
      <w:pPr>
        <w:pStyle w:val="BodyText"/>
        <w:spacing w:before="10"/>
        <w:ind w:left="0"/>
        <w:rPr>
          <w:sz w:val="21"/>
        </w:rPr>
      </w:pPr>
    </w:p>
    <w:p w14:paraId="716C10D8" w14:textId="35FC5948" w:rsidR="00CB143E" w:rsidRDefault="00CB143E" w:rsidP="00CB143E">
      <w:pPr>
        <w:pStyle w:val="BodyText"/>
        <w:ind w:right="1232"/>
        <w:jc w:val="both"/>
      </w:pPr>
      <w:r>
        <w:rPr>
          <w:b/>
          <w:u w:val="single"/>
        </w:rPr>
        <w:t>Çıktı 3.3</w:t>
      </w:r>
      <w:r>
        <w:rPr>
          <w:u w:val="single"/>
        </w:rPr>
        <w:t>: Topluluk üyeleri arasında (ebeveynler de dahil) çocuk koruma konusunda farkındalığın artması</w:t>
      </w:r>
      <w:r>
        <w:t xml:space="preserve"> </w:t>
      </w:r>
      <w:r>
        <w:rPr>
          <w:u w:val="single"/>
        </w:rPr>
        <w:t>ve çocukların okur</w:t>
      </w:r>
      <w:r w:rsidR="00A5267B">
        <w:rPr>
          <w:u w:val="single"/>
        </w:rPr>
        <w:t>-</w:t>
      </w:r>
      <w:r>
        <w:rPr>
          <w:u w:val="single"/>
        </w:rPr>
        <w:t>yazarlı</w:t>
      </w:r>
      <w:r w:rsidR="00A5267B">
        <w:rPr>
          <w:u w:val="single"/>
        </w:rPr>
        <w:t>ğının</w:t>
      </w:r>
      <w:r>
        <w:rPr>
          <w:u w:val="single"/>
        </w:rPr>
        <w:t xml:space="preserve"> geliş</w:t>
      </w:r>
      <w:r w:rsidR="00A5267B">
        <w:rPr>
          <w:u w:val="single"/>
        </w:rPr>
        <w:t>mesi</w:t>
      </w:r>
      <w:r>
        <w:rPr>
          <w:u w:val="single"/>
        </w:rPr>
        <w:t>.</w:t>
      </w:r>
    </w:p>
    <w:p w14:paraId="59CF1100" w14:textId="77777777" w:rsidR="00CB143E" w:rsidRDefault="00CB143E" w:rsidP="00CB143E">
      <w:pPr>
        <w:pStyle w:val="BodyText"/>
        <w:spacing w:before="11"/>
        <w:ind w:left="0"/>
        <w:rPr>
          <w:sz w:val="21"/>
        </w:rPr>
      </w:pPr>
    </w:p>
    <w:p w14:paraId="77CC0171" w14:textId="77777777" w:rsidR="00CB143E" w:rsidRDefault="00CB143E" w:rsidP="00CB143E">
      <w:pPr>
        <w:pStyle w:val="BodyText"/>
        <w:ind w:right="1231"/>
        <w:jc w:val="both"/>
      </w:pPr>
      <w:r>
        <w:t xml:space="preserve">Araştırmalar, öğrencilerin, özellikle de kız çocuklarının öğrenimini desteklemek için toplulukların ve ebeveynlerin sürekli katılımına ciddi anlamda ihtiyaç duyulduğunu vurgulamaktadır. Sınırlı kaynaklar nedeniyle, organizasyon tüm ebeveynler ve topluluklar için eğitimler gerçekleştiremeyecektir ve bu nedenle de yenilikçi bir yaklaşım kullanacaktır. Okuryazarlığı artırıcı mesajlar ve ebeveynlere evde çocuklarının okuryazarlığını nasıl destekleyeceklerini öğreten teknikler üzerine yerel radyo kampanyaları yürüteceğiz. </w:t>
      </w:r>
    </w:p>
    <w:p w14:paraId="0B6970C9" w14:textId="77777777" w:rsidR="00CB143E" w:rsidRDefault="00CB143E" w:rsidP="00980ABE">
      <w:pPr>
        <w:pStyle w:val="BodyText"/>
        <w:spacing w:before="1"/>
        <w:ind w:right="1231"/>
        <w:jc w:val="both"/>
        <w:rPr>
          <w:w w:val="85"/>
        </w:rPr>
      </w:pPr>
    </w:p>
    <w:p w14:paraId="32645309" w14:textId="77777777" w:rsidR="00CB143E" w:rsidRDefault="00CB143E" w:rsidP="00980ABE">
      <w:pPr>
        <w:pStyle w:val="BodyText"/>
        <w:spacing w:before="1"/>
        <w:ind w:right="1231"/>
        <w:jc w:val="both"/>
        <w:rPr>
          <w:w w:val="85"/>
        </w:rPr>
      </w:pPr>
    </w:p>
    <w:p w14:paraId="5E959144" w14:textId="77777777" w:rsidR="009A1FBE" w:rsidRPr="009A1FBE" w:rsidRDefault="009A1FBE" w:rsidP="009A1FBE">
      <w:pPr>
        <w:pStyle w:val="Heading2"/>
        <w:ind w:left="698" w:firstLine="720"/>
        <w:rPr>
          <w:b/>
          <w:bCs/>
        </w:rPr>
      </w:pPr>
      <w:bookmarkStart w:id="3" w:name="_Toc104396167"/>
      <w:r>
        <w:rPr>
          <w:b/>
          <w:color w:val="DA291C"/>
        </w:rPr>
        <w:lastRenderedPageBreak/>
        <w:t>Çatışma Duyarlılığı</w:t>
      </w:r>
      <w:bookmarkEnd w:id="3"/>
    </w:p>
    <w:p w14:paraId="2AF2BD3D" w14:textId="3F975730" w:rsidR="009A1FBE" w:rsidRDefault="009A1FBE" w:rsidP="009A1FBE">
      <w:pPr>
        <w:pStyle w:val="BodyText"/>
        <w:spacing w:before="166" w:line="244" w:lineRule="auto"/>
        <w:ind w:right="1234"/>
        <w:jc w:val="both"/>
      </w:pPr>
      <w:r>
        <w:t>Araştırmalar, eğitim ve çatışma arasındaki karmaşık bağlantıları ve korelasyonların altını çizmektedir. Son birkaç on yılda görüldüğü üzere, Abari'de devam eden çatışmalar Afganistan'daki eğitim sistemine ciddi anlamda zarar vermiştir. Eğitim, silahlı gruplar tarafından hedef alınmaya devam ederek sistemin daha da kötü bir hale gelmesine katkıda bulunmakta ve çocuklara koruyucu bir ortam sağlamak yerine okuldayken artan risklere maruz bırakmaktadır.</w:t>
      </w:r>
    </w:p>
    <w:p w14:paraId="3D529757" w14:textId="77777777" w:rsidR="009A1FBE" w:rsidRDefault="009A1FBE" w:rsidP="009A1FBE">
      <w:pPr>
        <w:pStyle w:val="BodyText"/>
        <w:spacing w:before="118" w:line="244" w:lineRule="auto"/>
        <w:ind w:right="1234"/>
        <w:jc w:val="both"/>
      </w:pPr>
      <w:r>
        <w:t>Eğitim, halklar arasında bölünme yaratarak, azınlık gruplarını ya da dini grupları ötekileştirerek ve halihazırda artan gerilime daha alevlendirebilecek davranış ve tutumları aşılayarak çatışmayı daha da körükleme potansiyeline sahiptir. Diğer taraftan politika yapıcılar ve öğretmenler eğitimin potansiyel kaldıraç etkisinin farkında olurlarsa, hoşgörü, kabul ve herkes için eşit erişimin teşvik edilmesi yoluyla eğitim aynı şekilde bir barış inşa aracı olarak da kullanılabilir.</w:t>
      </w:r>
    </w:p>
    <w:p w14:paraId="518293BA" w14:textId="77777777" w:rsidR="00CB143E" w:rsidRDefault="00CB143E" w:rsidP="00980ABE">
      <w:pPr>
        <w:pStyle w:val="BodyText"/>
        <w:spacing w:before="1"/>
        <w:ind w:right="1231"/>
        <w:jc w:val="both"/>
        <w:rPr>
          <w:w w:val="85"/>
        </w:rPr>
      </w:pPr>
    </w:p>
    <w:p w14:paraId="15CC4071" w14:textId="77777777" w:rsidR="009A1FBE" w:rsidRDefault="009A1FBE" w:rsidP="00980ABE">
      <w:pPr>
        <w:pStyle w:val="BodyText"/>
        <w:spacing w:before="1"/>
        <w:ind w:right="1231"/>
        <w:jc w:val="both"/>
        <w:rPr>
          <w:w w:val="85"/>
        </w:rPr>
      </w:pPr>
    </w:p>
    <w:p w14:paraId="57D0F40F" w14:textId="77777777" w:rsidR="009A1FBE" w:rsidRPr="009A1FBE" w:rsidRDefault="009A1FBE" w:rsidP="009A1FBE">
      <w:pPr>
        <w:pStyle w:val="Heading2"/>
        <w:ind w:left="698" w:firstLine="720"/>
        <w:rPr>
          <w:b/>
          <w:bCs/>
        </w:rPr>
      </w:pPr>
      <w:bookmarkStart w:id="4" w:name="_Toc104396168"/>
      <w:r>
        <w:rPr>
          <w:b/>
          <w:color w:val="DA291C"/>
        </w:rPr>
        <w:t>Çevre ve İklim</w:t>
      </w:r>
      <w:bookmarkEnd w:id="4"/>
    </w:p>
    <w:p w14:paraId="062FC875" w14:textId="7DB9D759" w:rsidR="009A1FBE" w:rsidRDefault="009A1FBE" w:rsidP="009A1FBE">
      <w:pPr>
        <w:pStyle w:val="BodyText"/>
        <w:spacing w:before="165" w:line="244" w:lineRule="auto"/>
        <w:ind w:right="1231"/>
        <w:jc w:val="both"/>
      </w:pPr>
      <w:r>
        <w:t>Abari, coğrafi konumu ve yıllarca süren çevresel bozulma nedeniyle sel, deprem, toprak kayması ve kuraklık gibi doğal tehlikelere oldukça açıktır. Önerilen proje, çocukların bu risklere maruz kalmasını azaltmak ve dolayısıyla genel koruma seviyelerini artırmak için afet riskinin azaltılmasını ana akım haline getirecektir.</w:t>
      </w:r>
    </w:p>
    <w:p w14:paraId="7229DE48" w14:textId="2CF9FB2B" w:rsidR="009A1FBE" w:rsidRDefault="009A1FBE" w:rsidP="009A1FBE">
      <w:pPr>
        <w:pStyle w:val="BodyText"/>
        <w:spacing w:before="120" w:line="242" w:lineRule="auto"/>
        <w:ind w:right="1233"/>
        <w:jc w:val="both"/>
      </w:pPr>
      <w:r>
        <w:t xml:space="preserve">Programın temel unsurlarından biri, kapsamlı okul güvenliği çerçevesine dayalı olarak afet riskinin azaltılmasıyla ilgili materyallerin geliştirilmesi ve uygulanması olacaktır. Bu materyaller daha sonra sınıflarda çocuklara afetler, riskler ve koruyucu davranışlar hakkında eğitim vermek için kullanılacaktır. </w:t>
      </w:r>
    </w:p>
    <w:p w14:paraId="6206CA3C" w14:textId="77777777" w:rsidR="009A1FBE" w:rsidRDefault="009A1FBE" w:rsidP="00980ABE">
      <w:pPr>
        <w:pStyle w:val="BodyText"/>
        <w:spacing w:before="1"/>
        <w:ind w:right="1231"/>
        <w:jc w:val="both"/>
        <w:rPr>
          <w:w w:val="85"/>
        </w:rPr>
      </w:pPr>
    </w:p>
    <w:p w14:paraId="6177A83F" w14:textId="77777777" w:rsidR="009A1FBE" w:rsidRDefault="009A1FBE" w:rsidP="00980ABE">
      <w:pPr>
        <w:pStyle w:val="BodyText"/>
        <w:spacing w:before="1"/>
        <w:ind w:right="1231"/>
        <w:jc w:val="both"/>
        <w:rPr>
          <w:w w:val="85"/>
        </w:rPr>
      </w:pPr>
    </w:p>
    <w:p w14:paraId="5DD6DCC2" w14:textId="02923268" w:rsidR="009A1FBE" w:rsidRPr="009A1FBE" w:rsidRDefault="009A1FBE" w:rsidP="009A1FBE">
      <w:pPr>
        <w:pStyle w:val="Heading2"/>
        <w:ind w:left="698" w:firstLine="720"/>
        <w:rPr>
          <w:b/>
          <w:bCs/>
        </w:rPr>
      </w:pPr>
      <w:r>
        <w:rPr>
          <w:b/>
          <w:color w:val="DA291C"/>
        </w:rPr>
        <w:t>Sürdürülebilirlik</w:t>
      </w:r>
    </w:p>
    <w:p w14:paraId="790FE608" w14:textId="61B67172" w:rsidR="009A1FBE" w:rsidRDefault="009A1FBE" w:rsidP="009A1FBE">
      <w:pPr>
        <w:pStyle w:val="BodyText"/>
        <w:spacing w:before="185" w:line="244" w:lineRule="auto"/>
        <w:ind w:right="1231"/>
        <w:jc w:val="both"/>
      </w:pPr>
      <w:r>
        <w:t>Projenin sürdürülebilirliğini sağlamak amacıyla, CBE öğrencilerinin üç yıllık CBE'yi tamamladıktan sonra devlet okullarına geçişini sağlamak için hükumetten/Milli Eğitim Bakanlığından onay alacağız. Hükumetin taahhüdünün bir parçası da, çocukların okul çerçevesinde kalmalarını ve eğitimlerine devam etmelerini teşvik etmek ve sağlamak amacıyla Okul Yönetimi ile birlikte bu çocukların izlenmesini üstlenmek olacaktır. Okul Gelişim Planı (SIP) aracılığıyla, öğretmen eğitimi ve değerlendirme metodolojileri gibi diğer teknik desteklerle devlet okullarının özümseme kapasitesinin geliştirilmesine destek sağlayacağız.</w:t>
      </w:r>
    </w:p>
    <w:p w14:paraId="71F8A8FB" w14:textId="77777777" w:rsidR="009A1FBE" w:rsidRDefault="009A1FBE" w:rsidP="009A1FBE">
      <w:pPr>
        <w:pStyle w:val="BodyText"/>
        <w:spacing w:before="117" w:line="242" w:lineRule="auto"/>
        <w:ind w:right="1229"/>
        <w:jc w:val="both"/>
      </w:pPr>
      <w:r>
        <w:t>Tüm CBE/EiE sınıfları devlet okuluna dönüştürülecek ve uzak topluluklarda okul öncesi eğitimin kurulması, şu anda geliştirilmekte olan ilkokul öncesi politikasının uygulanmasında Milli Eğitim Bakanlığı da destek sağlayacaktır.</w:t>
      </w:r>
    </w:p>
    <w:p w14:paraId="6B778A8F" w14:textId="33EC87D3" w:rsidR="009A1FBE" w:rsidRDefault="009A1FBE" w:rsidP="009A1FBE">
      <w:pPr>
        <w:pStyle w:val="BodyText"/>
        <w:spacing w:before="126" w:line="244" w:lineRule="auto"/>
        <w:ind w:right="1232"/>
        <w:jc w:val="both"/>
      </w:pPr>
      <w:r>
        <w:t xml:space="preserve">Buna ek olarak, CBE'lerin yönetimini ve sahiplenilmesini artırmak için Okul Yönetimi ve topluluk büyükleri gibi toplum temelli yapıları destekleyeceğiz. Toplulukta ve ebeveynler arasında çocukların, özellikle de kız çocuklarının eğitiminin önemi konusunda farkındalık yaratacağız. Bunun toplumlarda kalıcı davranış değişikliği yaratması </w:t>
      </w:r>
      <w:r>
        <w:lastRenderedPageBreak/>
        <w:t>beklenmektedir.</w:t>
      </w:r>
    </w:p>
    <w:p w14:paraId="2144630A" w14:textId="77777777" w:rsidR="00980ABE" w:rsidRDefault="00980ABE" w:rsidP="00980ABE">
      <w:pPr>
        <w:pStyle w:val="BodyText"/>
        <w:spacing w:before="116" w:line="244" w:lineRule="auto"/>
        <w:ind w:left="0" w:right="1230"/>
        <w:jc w:val="both"/>
        <w:rPr>
          <w:w w:val="95"/>
        </w:rPr>
      </w:pPr>
    </w:p>
    <w:p w14:paraId="05B94D25" w14:textId="77777777" w:rsidR="009A1FBE" w:rsidRDefault="009A1FBE" w:rsidP="00980ABE">
      <w:pPr>
        <w:pStyle w:val="BodyText"/>
        <w:spacing w:before="116" w:line="244" w:lineRule="auto"/>
        <w:ind w:left="0" w:right="1230"/>
        <w:jc w:val="both"/>
        <w:rPr>
          <w:w w:val="95"/>
        </w:rPr>
      </w:pPr>
    </w:p>
    <w:p w14:paraId="30D149FA" w14:textId="26F8A1D5" w:rsidR="009A1FBE" w:rsidRPr="00EA75DA" w:rsidRDefault="009A1FBE" w:rsidP="00EA75DA">
      <w:pPr>
        <w:pStyle w:val="Heading2"/>
        <w:ind w:left="698" w:firstLine="720"/>
        <w:rPr>
          <w:b/>
          <w:bCs/>
        </w:rPr>
      </w:pPr>
      <w:bookmarkStart w:id="5" w:name="_Toc104396173"/>
      <w:r>
        <w:rPr>
          <w:color w:val="DA291C"/>
        </w:rPr>
        <w:t xml:space="preserve"> </w:t>
      </w:r>
      <w:bookmarkEnd w:id="5"/>
      <w:r>
        <w:rPr>
          <w:b/>
          <w:color w:val="DA291C"/>
        </w:rPr>
        <w:t>İzleme, Değerlendirme, Sorumluluk ve Öğrenme</w:t>
      </w:r>
    </w:p>
    <w:p w14:paraId="680FC4E0" w14:textId="458DBACB" w:rsidR="009A1FBE" w:rsidRDefault="009A1FBE" w:rsidP="009A1FBE">
      <w:pPr>
        <w:pStyle w:val="BodyText"/>
        <w:spacing w:before="186" w:line="244" w:lineRule="auto"/>
        <w:ind w:right="1233"/>
        <w:jc w:val="both"/>
      </w:pPr>
      <w:r>
        <w:t>Kaliteli performans izleme ve zamanında, verimli ve etkili karar alma süreçlerini sağlamak için bir İzleme, Değerlendirme, Öğrenme ve Sorumluluk (MEAL) planı geliştirilecektir. MEAL planı, beklenen sonuç ve çıktı düzeyindeki nicel ve nitel ilerleme göstergelerinin nasıl izleneceğini, ölçüleceğini, doğrulanacağını ve analiz edileceğini açıklayacaktır. Veri ve bilgiler; devam çizelgeleri, eğitim kayıtları, envanter kontrolü, ilk ve son testler ve sınıf gözlem değerlendirmeleri gibi çeşitli metodolojiler, yaklaşımlar ve veri/bilgi toplama araçları kullanılarak toplanacaktır. Veri kalite güvencesi ve kalite kontrolünün ayrılmaz bir parçası olarak, MEAL personeli düzenli saha ziyaretleri ve yerinde kontroller gerçekleştirecek ve kalite standartlarını, hedeflenen yararlanıcılardan ve paydaşlardan zamanında geri bildirim alınmasını garanti altına alacaktır. Toplanan tüm veri ve bilgiler, mümkün olduğu ölçüde, ister yerinden edilmiş, geri dönen veya ev sahibi topluluklardan olsun, cinsiyet, engellilik ve kız ve erkek çocuklarının durumuna göre ayrıştırılacak ve analiz edilecektir.</w:t>
      </w:r>
    </w:p>
    <w:p w14:paraId="0EC6442F" w14:textId="77777777" w:rsidR="0048343E" w:rsidRPr="00FE5B0B" w:rsidRDefault="0048343E" w:rsidP="0048343E"/>
    <w:p w14:paraId="55BF6E99" w14:textId="77777777" w:rsidR="0048343E" w:rsidRPr="00FE5B0B" w:rsidRDefault="0048343E" w:rsidP="0048343E"/>
    <w:sectPr w:rsidR="0048343E" w:rsidRPr="00FE5B0B" w:rsidSect="00960B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728ED"/>
    <w:multiLevelType w:val="hybridMultilevel"/>
    <w:tmpl w:val="84F04980"/>
    <w:lvl w:ilvl="0" w:tplc="20FE0682">
      <w:numFmt w:val="bullet"/>
      <w:lvlText w:val=""/>
      <w:lvlJc w:val="left"/>
      <w:pPr>
        <w:ind w:left="2138" w:hanging="360"/>
      </w:pPr>
      <w:rPr>
        <w:rFonts w:ascii="Symbol" w:eastAsia="Symbol" w:hAnsi="Symbol" w:cs="Symbol" w:hint="default"/>
        <w:w w:val="100"/>
        <w:sz w:val="22"/>
        <w:szCs w:val="22"/>
        <w:lang w:val="en-US" w:eastAsia="en-US" w:bidi="ar-SA"/>
      </w:rPr>
    </w:lvl>
    <w:lvl w:ilvl="1" w:tplc="28D6F1A2">
      <w:numFmt w:val="bullet"/>
      <w:lvlText w:val="•"/>
      <w:lvlJc w:val="left"/>
      <w:pPr>
        <w:ind w:left="3098" w:hanging="360"/>
      </w:pPr>
      <w:rPr>
        <w:rFonts w:hint="default"/>
        <w:lang w:val="en-US" w:eastAsia="en-US" w:bidi="ar-SA"/>
      </w:rPr>
    </w:lvl>
    <w:lvl w:ilvl="2" w:tplc="5D66A00E">
      <w:numFmt w:val="bullet"/>
      <w:lvlText w:val="•"/>
      <w:lvlJc w:val="left"/>
      <w:pPr>
        <w:ind w:left="4057" w:hanging="360"/>
      </w:pPr>
      <w:rPr>
        <w:rFonts w:hint="default"/>
        <w:lang w:val="en-US" w:eastAsia="en-US" w:bidi="ar-SA"/>
      </w:rPr>
    </w:lvl>
    <w:lvl w:ilvl="3" w:tplc="AB02F5BC">
      <w:numFmt w:val="bullet"/>
      <w:lvlText w:val="•"/>
      <w:lvlJc w:val="left"/>
      <w:pPr>
        <w:ind w:left="5015" w:hanging="360"/>
      </w:pPr>
      <w:rPr>
        <w:rFonts w:hint="default"/>
        <w:lang w:val="en-US" w:eastAsia="en-US" w:bidi="ar-SA"/>
      </w:rPr>
    </w:lvl>
    <w:lvl w:ilvl="4" w:tplc="CF1C2188">
      <w:numFmt w:val="bullet"/>
      <w:lvlText w:val="•"/>
      <w:lvlJc w:val="left"/>
      <w:pPr>
        <w:ind w:left="5974" w:hanging="360"/>
      </w:pPr>
      <w:rPr>
        <w:rFonts w:hint="default"/>
        <w:lang w:val="en-US" w:eastAsia="en-US" w:bidi="ar-SA"/>
      </w:rPr>
    </w:lvl>
    <w:lvl w:ilvl="5" w:tplc="C7EA1696">
      <w:numFmt w:val="bullet"/>
      <w:lvlText w:val="•"/>
      <w:lvlJc w:val="left"/>
      <w:pPr>
        <w:ind w:left="6933" w:hanging="360"/>
      </w:pPr>
      <w:rPr>
        <w:rFonts w:hint="default"/>
        <w:lang w:val="en-US" w:eastAsia="en-US" w:bidi="ar-SA"/>
      </w:rPr>
    </w:lvl>
    <w:lvl w:ilvl="6" w:tplc="E4F295F0">
      <w:numFmt w:val="bullet"/>
      <w:lvlText w:val="•"/>
      <w:lvlJc w:val="left"/>
      <w:pPr>
        <w:ind w:left="7891" w:hanging="360"/>
      </w:pPr>
      <w:rPr>
        <w:rFonts w:hint="default"/>
        <w:lang w:val="en-US" w:eastAsia="en-US" w:bidi="ar-SA"/>
      </w:rPr>
    </w:lvl>
    <w:lvl w:ilvl="7" w:tplc="A43E6E20">
      <w:numFmt w:val="bullet"/>
      <w:lvlText w:val="•"/>
      <w:lvlJc w:val="left"/>
      <w:pPr>
        <w:ind w:left="8850" w:hanging="360"/>
      </w:pPr>
      <w:rPr>
        <w:rFonts w:hint="default"/>
        <w:lang w:val="en-US" w:eastAsia="en-US" w:bidi="ar-SA"/>
      </w:rPr>
    </w:lvl>
    <w:lvl w:ilvl="8" w:tplc="2D5A3464">
      <w:numFmt w:val="bullet"/>
      <w:lvlText w:val="•"/>
      <w:lvlJc w:val="left"/>
      <w:pPr>
        <w:ind w:left="9809" w:hanging="360"/>
      </w:pPr>
      <w:rPr>
        <w:rFonts w:hint="default"/>
        <w:lang w:val="en-US" w:eastAsia="en-US" w:bidi="ar-SA"/>
      </w:rPr>
    </w:lvl>
  </w:abstractNum>
  <w:abstractNum w:abstractNumId="1" w15:restartNumberingAfterBreak="0">
    <w:nsid w:val="5C435040"/>
    <w:multiLevelType w:val="hybridMultilevel"/>
    <w:tmpl w:val="C1E0430A"/>
    <w:lvl w:ilvl="0" w:tplc="5030CF9C">
      <w:start w:val="9"/>
      <w:numFmt w:val="decimal"/>
      <w:lvlText w:val="%1."/>
      <w:lvlJc w:val="left"/>
      <w:pPr>
        <w:ind w:left="7229" w:hanging="708"/>
        <w:jc w:val="right"/>
      </w:pPr>
      <w:rPr>
        <w:rFonts w:ascii="Trebuchet MS" w:eastAsia="Trebuchet MS" w:hAnsi="Trebuchet MS" w:cs="Trebuchet MS" w:hint="default"/>
        <w:color w:val="DA291C"/>
        <w:spacing w:val="0"/>
        <w:w w:val="80"/>
        <w:sz w:val="44"/>
        <w:szCs w:val="44"/>
        <w:lang w:val="en-US" w:eastAsia="en-US" w:bidi="ar-SA"/>
      </w:rPr>
    </w:lvl>
    <w:lvl w:ilvl="1" w:tplc="3DD81276">
      <w:numFmt w:val="bullet"/>
      <w:lvlText w:val=""/>
      <w:lvlJc w:val="left"/>
      <w:pPr>
        <w:ind w:left="2138" w:hanging="360"/>
      </w:pPr>
      <w:rPr>
        <w:rFonts w:ascii="Symbol" w:eastAsia="Symbol" w:hAnsi="Symbol" w:cs="Symbol" w:hint="default"/>
        <w:w w:val="100"/>
        <w:sz w:val="22"/>
        <w:szCs w:val="22"/>
        <w:lang w:val="en-US" w:eastAsia="en-US" w:bidi="ar-SA"/>
      </w:rPr>
    </w:lvl>
    <w:lvl w:ilvl="2" w:tplc="92B24488">
      <w:numFmt w:val="bullet"/>
      <w:lvlText w:val="•"/>
      <w:lvlJc w:val="left"/>
      <w:pPr>
        <w:ind w:left="3205" w:hanging="360"/>
      </w:pPr>
      <w:rPr>
        <w:rFonts w:hint="default"/>
        <w:lang w:val="en-US" w:eastAsia="en-US" w:bidi="ar-SA"/>
      </w:rPr>
    </w:lvl>
    <w:lvl w:ilvl="3" w:tplc="61848A8E">
      <w:numFmt w:val="bullet"/>
      <w:lvlText w:val="•"/>
      <w:lvlJc w:val="left"/>
      <w:pPr>
        <w:ind w:left="4270" w:hanging="360"/>
      </w:pPr>
      <w:rPr>
        <w:rFonts w:hint="default"/>
        <w:lang w:val="en-US" w:eastAsia="en-US" w:bidi="ar-SA"/>
      </w:rPr>
    </w:lvl>
    <w:lvl w:ilvl="4" w:tplc="F1D06494">
      <w:numFmt w:val="bullet"/>
      <w:lvlText w:val="•"/>
      <w:lvlJc w:val="left"/>
      <w:pPr>
        <w:ind w:left="5335" w:hanging="360"/>
      </w:pPr>
      <w:rPr>
        <w:rFonts w:hint="default"/>
        <w:lang w:val="en-US" w:eastAsia="en-US" w:bidi="ar-SA"/>
      </w:rPr>
    </w:lvl>
    <w:lvl w:ilvl="5" w:tplc="D846ACEE">
      <w:numFmt w:val="bullet"/>
      <w:lvlText w:val="•"/>
      <w:lvlJc w:val="left"/>
      <w:pPr>
        <w:ind w:left="6400" w:hanging="360"/>
      </w:pPr>
      <w:rPr>
        <w:rFonts w:hint="default"/>
        <w:lang w:val="en-US" w:eastAsia="en-US" w:bidi="ar-SA"/>
      </w:rPr>
    </w:lvl>
    <w:lvl w:ilvl="6" w:tplc="AB1032B4">
      <w:numFmt w:val="bullet"/>
      <w:lvlText w:val="•"/>
      <w:lvlJc w:val="left"/>
      <w:pPr>
        <w:ind w:left="7465" w:hanging="360"/>
      </w:pPr>
      <w:rPr>
        <w:rFonts w:hint="default"/>
        <w:lang w:val="en-US" w:eastAsia="en-US" w:bidi="ar-SA"/>
      </w:rPr>
    </w:lvl>
    <w:lvl w:ilvl="7" w:tplc="88D6FB86">
      <w:numFmt w:val="bullet"/>
      <w:lvlText w:val="•"/>
      <w:lvlJc w:val="left"/>
      <w:pPr>
        <w:ind w:left="8530" w:hanging="360"/>
      </w:pPr>
      <w:rPr>
        <w:rFonts w:hint="default"/>
        <w:lang w:val="en-US" w:eastAsia="en-US" w:bidi="ar-SA"/>
      </w:rPr>
    </w:lvl>
    <w:lvl w:ilvl="8" w:tplc="F6B8BD5A">
      <w:numFmt w:val="bullet"/>
      <w:lvlText w:val="•"/>
      <w:lvlJc w:val="left"/>
      <w:pPr>
        <w:ind w:left="9596" w:hanging="360"/>
      </w:pPr>
      <w:rPr>
        <w:rFonts w:hint="default"/>
        <w:lang w:val="en-US" w:eastAsia="en-US" w:bidi="ar-SA"/>
      </w:rPr>
    </w:lvl>
  </w:abstractNum>
  <w:abstractNum w:abstractNumId="2" w15:restartNumberingAfterBreak="0">
    <w:nsid w:val="5DD03550"/>
    <w:multiLevelType w:val="hybridMultilevel"/>
    <w:tmpl w:val="E68E86CC"/>
    <w:lvl w:ilvl="0" w:tplc="E96A205E">
      <w:start w:val="3"/>
      <w:numFmt w:val="decimal"/>
      <w:lvlText w:val="%1."/>
      <w:lvlJc w:val="left"/>
      <w:pPr>
        <w:ind w:left="1778" w:hanging="360"/>
        <w:jc w:val="left"/>
      </w:pPr>
      <w:rPr>
        <w:rFonts w:ascii="Trebuchet MS" w:eastAsia="Trebuchet MS" w:hAnsi="Trebuchet MS" w:cs="Trebuchet MS" w:hint="default"/>
        <w:color w:val="DA291C"/>
        <w:spacing w:val="0"/>
        <w:w w:val="80"/>
        <w:sz w:val="44"/>
        <w:szCs w:val="44"/>
        <w:lang w:val="en-US" w:eastAsia="en-US" w:bidi="ar-SA"/>
      </w:rPr>
    </w:lvl>
    <w:lvl w:ilvl="1" w:tplc="2E8E5572">
      <w:start w:val="1"/>
      <w:numFmt w:val="decimal"/>
      <w:lvlText w:val="%2."/>
      <w:lvlJc w:val="left"/>
      <w:pPr>
        <w:ind w:left="2138" w:hanging="360"/>
        <w:jc w:val="left"/>
      </w:pPr>
      <w:rPr>
        <w:rFonts w:ascii="Trebuchet MS" w:eastAsia="Trebuchet MS" w:hAnsi="Trebuchet MS" w:cs="Trebuchet MS" w:hint="default"/>
        <w:w w:val="80"/>
        <w:sz w:val="22"/>
        <w:szCs w:val="22"/>
        <w:lang w:val="en-US" w:eastAsia="en-US" w:bidi="ar-SA"/>
      </w:rPr>
    </w:lvl>
    <w:lvl w:ilvl="2" w:tplc="6C46518E">
      <w:numFmt w:val="bullet"/>
      <w:lvlText w:val="•"/>
      <w:lvlJc w:val="left"/>
      <w:pPr>
        <w:ind w:left="3205" w:hanging="360"/>
      </w:pPr>
      <w:rPr>
        <w:rFonts w:hint="default"/>
        <w:lang w:val="en-US" w:eastAsia="en-US" w:bidi="ar-SA"/>
      </w:rPr>
    </w:lvl>
    <w:lvl w:ilvl="3" w:tplc="28D2852A">
      <w:numFmt w:val="bullet"/>
      <w:lvlText w:val="•"/>
      <w:lvlJc w:val="left"/>
      <w:pPr>
        <w:ind w:left="4270" w:hanging="360"/>
      </w:pPr>
      <w:rPr>
        <w:rFonts w:hint="default"/>
        <w:lang w:val="en-US" w:eastAsia="en-US" w:bidi="ar-SA"/>
      </w:rPr>
    </w:lvl>
    <w:lvl w:ilvl="4" w:tplc="1F148F7A">
      <w:numFmt w:val="bullet"/>
      <w:lvlText w:val="•"/>
      <w:lvlJc w:val="left"/>
      <w:pPr>
        <w:ind w:left="5335" w:hanging="360"/>
      </w:pPr>
      <w:rPr>
        <w:rFonts w:hint="default"/>
        <w:lang w:val="en-US" w:eastAsia="en-US" w:bidi="ar-SA"/>
      </w:rPr>
    </w:lvl>
    <w:lvl w:ilvl="5" w:tplc="9D1018E6">
      <w:numFmt w:val="bullet"/>
      <w:lvlText w:val="•"/>
      <w:lvlJc w:val="left"/>
      <w:pPr>
        <w:ind w:left="6400" w:hanging="360"/>
      </w:pPr>
      <w:rPr>
        <w:rFonts w:hint="default"/>
        <w:lang w:val="en-US" w:eastAsia="en-US" w:bidi="ar-SA"/>
      </w:rPr>
    </w:lvl>
    <w:lvl w:ilvl="6" w:tplc="B99083A8">
      <w:numFmt w:val="bullet"/>
      <w:lvlText w:val="•"/>
      <w:lvlJc w:val="left"/>
      <w:pPr>
        <w:ind w:left="7465" w:hanging="360"/>
      </w:pPr>
      <w:rPr>
        <w:rFonts w:hint="default"/>
        <w:lang w:val="en-US" w:eastAsia="en-US" w:bidi="ar-SA"/>
      </w:rPr>
    </w:lvl>
    <w:lvl w:ilvl="7" w:tplc="2FB45E1C">
      <w:numFmt w:val="bullet"/>
      <w:lvlText w:val="•"/>
      <w:lvlJc w:val="left"/>
      <w:pPr>
        <w:ind w:left="8530" w:hanging="360"/>
      </w:pPr>
      <w:rPr>
        <w:rFonts w:hint="default"/>
        <w:lang w:val="en-US" w:eastAsia="en-US" w:bidi="ar-SA"/>
      </w:rPr>
    </w:lvl>
    <w:lvl w:ilvl="8" w:tplc="CED688A0">
      <w:numFmt w:val="bullet"/>
      <w:lvlText w:val="•"/>
      <w:lvlJc w:val="left"/>
      <w:pPr>
        <w:ind w:left="9596" w:hanging="360"/>
      </w:pPr>
      <w:rPr>
        <w:rFonts w:hint="default"/>
        <w:lang w:val="en-US" w:eastAsia="en-US" w:bidi="ar-SA"/>
      </w:rPr>
    </w:lvl>
  </w:abstractNum>
  <w:num w:numId="1" w16cid:durableId="1468818854">
    <w:abstractNumId w:val="2"/>
  </w:num>
  <w:num w:numId="2" w16cid:durableId="12415678">
    <w:abstractNumId w:val="0"/>
  </w:num>
  <w:num w:numId="3" w16cid:durableId="1297179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3E"/>
    <w:rsid w:val="00093B4E"/>
    <w:rsid w:val="00126B25"/>
    <w:rsid w:val="0048343E"/>
    <w:rsid w:val="0080061A"/>
    <w:rsid w:val="009274DB"/>
    <w:rsid w:val="00960BFC"/>
    <w:rsid w:val="00980ABE"/>
    <w:rsid w:val="009A1FBE"/>
    <w:rsid w:val="00A5267B"/>
    <w:rsid w:val="00B908F8"/>
    <w:rsid w:val="00CB143E"/>
    <w:rsid w:val="00EA75DA"/>
    <w:rsid w:val="00FE5B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1523"/>
  <w15:chartTrackingRefBased/>
  <w15:docId w15:val="{CD38B940-B210-44D7-9EC3-EF4A1E81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48343E"/>
    <w:pPr>
      <w:widowControl w:val="0"/>
      <w:autoSpaceDE w:val="0"/>
      <w:autoSpaceDN w:val="0"/>
      <w:spacing w:after="0" w:line="240" w:lineRule="auto"/>
      <w:ind w:left="1778" w:hanging="721"/>
      <w:outlineLvl w:val="0"/>
    </w:pPr>
    <w:rPr>
      <w:rFonts w:ascii="Trebuchet MS" w:eastAsia="Trebuchet MS" w:hAnsi="Trebuchet MS" w:cs="Trebuchet MS"/>
      <w:sz w:val="44"/>
      <w:szCs w:val="44"/>
    </w:rPr>
  </w:style>
  <w:style w:type="paragraph" w:styleId="Heading2">
    <w:name w:val="heading 2"/>
    <w:basedOn w:val="Normal"/>
    <w:next w:val="Normal"/>
    <w:link w:val="Heading2Char"/>
    <w:uiPriority w:val="9"/>
    <w:unhideWhenUsed/>
    <w:qFormat/>
    <w:rsid w:val="009A1F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80AB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8343E"/>
    <w:pPr>
      <w:widowControl w:val="0"/>
      <w:autoSpaceDE w:val="0"/>
      <w:autoSpaceDN w:val="0"/>
      <w:spacing w:after="0" w:line="240" w:lineRule="auto"/>
    </w:pPr>
    <w:rPr>
      <w:rFonts w:ascii="Trebuchet MS" w:eastAsia="Trebuchet MS" w:hAnsi="Trebuchet MS" w:cs="Trebuchet MS"/>
    </w:rPr>
  </w:style>
  <w:style w:type="character" w:customStyle="1" w:styleId="Heading1Char">
    <w:name w:val="Heading 1 Char"/>
    <w:basedOn w:val="DefaultParagraphFont"/>
    <w:link w:val="Heading1"/>
    <w:uiPriority w:val="1"/>
    <w:rsid w:val="0048343E"/>
    <w:rPr>
      <w:rFonts w:ascii="Trebuchet MS" w:eastAsia="Trebuchet MS" w:hAnsi="Trebuchet MS" w:cs="Trebuchet MS"/>
      <w:sz w:val="44"/>
      <w:szCs w:val="44"/>
      <w:lang w:val="tr-TR"/>
    </w:rPr>
  </w:style>
  <w:style w:type="paragraph" w:styleId="BodyText">
    <w:name w:val="Body Text"/>
    <w:basedOn w:val="Normal"/>
    <w:link w:val="BodyTextChar"/>
    <w:uiPriority w:val="1"/>
    <w:qFormat/>
    <w:rsid w:val="0048343E"/>
    <w:pPr>
      <w:widowControl w:val="0"/>
      <w:autoSpaceDE w:val="0"/>
      <w:autoSpaceDN w:val="0"/>
      <w:spacing w:after="0" w:line="240" w:lineRule="auto"/>
      <w:ind w:left="1418"/>
    </w:pPr>
    <w:rPr>
      <w:rFonts w:ascii="Trebuchet MS" w:eastAsia="Trebuchet MS" w:hAnsi="Trebuchet MS" w:cs="Trebuchet MS"/>
    </w:rPr>
  </w:style>
  <w:style w:type="character" w:customStyle="1" w:styleId="BodyTextChar">
    <w:name w:val="Body Text Char"/>
    <w:basedOn w:val="DefaultParagraphFont"/>
    <w:link w:val="BodyText"/>
    <w:uiPriority w:val="1"/>
    <w:rsid w:val="0048343E"/>
    <w:rPr>
      <w:rFonts w:ascii="Trebuchet MS" w:eastAsia="Trebuchet MS" w:hAnsi="Trebuchet MS" w:cs="Trebuchet MS"/>
      <w:lang w:val="tr-TR"/>
    </w:rPr>
  </w:style>
  <w:style w:type="paragraph" w:styleId="ListParagraph">
    <w:name w:val="List Paragraph"/>
    <w:basedOn w:val="Normal"/>
    <w:uiPriority w:val="1"/>
    <w:qFormat/>
    <w:rsid w:val="0048343E"/>
    <w:pPr>
      <w:widowControl w:val="0"/>
      <w:autoSpaceDE w:val="0"/>
      <w:autoSpaceDN w:val="0"/>
      <w:spacing w:after="0" w:line="240" w:lineRule="auto"/>
      <w:ind w:left="2138" w:hanging="361"/>
    </w:pPr>
    <w:rPr>
      <w:rFonts w:ascii="Trebuchet MS" w:eastAsia="Trebuchet MS" w:hAnsi="Trebuchet MS" w:cs="Trebuchet MS"/>
    </w:rPr>
  </w:style>
  <w:style w:type="character" w:customStyle="1" w:styleId="Heading3Char">
    <w:name w:val="Heading 3 Char"/>
    <w:basedOn w:val="DefaultParagraphFont"/>
    <w:link w:val="Heading3"/>
    <w:uiPriority w:val="9"/>
    <w:semiHidden/>
    <w:rsid w:val="00980ABE"/>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80ABE"/>
    <w:rPr>
      <w:sz w:val="16"/>
      <w:szCs w:val="16"/>
    </w:rPr>
  </w:style>
  <w:style w:type="paragraph" w:styleId="CommentText">
    <w:name w:val="annotation text"/>
    <w:basedOn w:val="Normal"/>
    <w:link w:val="CommentTextChar"/>
    <w:uiPriority w:val="99"/>
    <w:semiHidden/>
    <w:unhideWhenUsed/>
    <w:rsid w:val="00980ABE"/>
    <w:pPr>
      <w:widowControl w:val="0"/>
      <w:autoSpaceDE w:val="0"/>
      <w:autoSpaceDN w:val="0"/>
      <w:spacing w:after="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semiHidden/>
    <w:rsid w:val="00980ABE"/>
    <w:rPr>
      <w:rFonts w:ascii="Trebuchet MS" w:eastAsia="Trebuchet MS" w:hAnsi="Trebuchet MS" w:cs="Trebuchet MS"/>
      <w:sz w:val="20"/>
      <w:szCs w:val="20"/>
      <w:lang w:val="tr-TR"/>
    </w:rPr>
  </w:style>
  <w:style w:type="character" w:customStyle="1" w:styleId="Heading2Char">
    <w:name w:val="Heading 2 Char"/>
    <w:basedOn w:val="DefaultParagraphFont"/>
    <w:link w:val="Heading2"/>
    <w:uiPriority w:val="9"/>
    <w:rsid w:val="009A1FBE"/>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A526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2A9490-7293-400A-8E28-15B8D36FDA22}">
  <ds:schemaRefs>
    <ds:schemaRef ds:uri="http://schemas.microsoft.com/sharepoint/v3/contenttype/forms"/>
  </ds:schemaRefs>
</ds:datastoreItem>
</file>

<file path=customXml/itemProps2.xml><?xml version="1.0" encoding="utf-8"?>
<ds:datastoreItem xmlns:ds="http://schemas.openxmlformats.org/officeDocument/2006/customXml" ds:itemID="{18CF6BED-D2BA-40EF-837B-355331A29F76}">
  <ds:schemaRefs>
    <ds:schemaRef ds:uri="http://schemas.openxmlformats.org/officeDocument/2006/bibliography"/>
  </ds:schemaRefs>
</ds:datastoreItem>
</file>

<file path=customXml/itemProps3.xml><?xml version="1.0" encoding="utf-8"?>
<ds:datastoreItem xmlns:ds="http://schemas.openxmlformats.org/officeDocument/2006/customXml" ds:itemID="{E9D74F00-AD30-457E-8A9E-DF8F86792F80}"/>
</file>

<file path=customXml/itemProps4.xml><?xml version="1.0" encoding="utf-8"?>
<ds:datastoreItem xmlns:ds="http://schemas.openxmlformats.org/officeDocument/2006/customXml" ds:itemID="{1BA9D0B0-9664-4CC5-B170-9FB5496F2571}"/>
</file>

<file path=docProps/app.xml><?xml version="1.0" encoding="utf-8"?>
<Properties xmlns="http://schemas.openxmlformats.org/officeDocument/2006/extended-properties" xmlns:vt="http://schemas.openxmlformats.org/officeDocument/2006/docPropsVTypes">
  <Template>Normal</Template>
  <TotalTime>0</TotalTime>
  <Pages>10</Pages>
  <Words>3203</Words>
  <Characters>18261</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Giannini</dc:creator>
  <cp:keywords/>
  <dc:description/>
  <cp:revision>3</cp:revision>
  <dcterms:created xsi:type="dcterms:W3CDTF">2024-03-25T13:16:00Z</dcterms:created>
  <dcterms:modified xsi:type="dcterms:W3CDTF">2024-03-28T17:27:00Z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