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BFC7" w14:textId="57FF184F" w:rsidR="00CD36D5" w:rsidRPr="00656CA8" w:rsidRDefault="00EE6E66" w:rsidP="00132026">
      <w:pPr>
        <w:jc w:val="center"/>
        <w:rPr>
          <w:b/>
          <w:bCs/>
          <w:sz w:val="28"/>
          <w:szCs w:val="28"/>
        </w:rPr>
      </w:pPr>
      <w:r w:rsidRPr="4A754EB0">
        <w:rPr>
          <w:b/>
          <w:bCs/>
          <w:sz w:val="28"/>
          <w:szCs w:val="28"/>
        </w:rPr>
        <w:t xml:space="preserve">Call for </w:t>
      </w:r>
      <w:r w:rsidR="7DA89D6B" w:rsidRPr="4A754EB0">
        <w:rPr>
          <w:b/>
          <w:bCs/>
          <w:sz w:val="28"/>
          <w:szCs w:val="28"/>
        </w:rPr>
        <w:t>E</w:t>
      </w:r>
      <w:r w:rsidRPr="4A754EB0">
        <w:rPr>
          <w:b/>
          <w:bCs/>
          <w:sz w:val="28"/>
          <w:szCs w:val="28"/>
        </w:rPr>
        <w:t xml:space="preserve">xpression of </w:t>
      </w:r>
      <w:r w:rsidR="7195BF9F" w:rsidRPr="4A754EB0">
        <w:rPr>
          <w:b/>
          <w:bCs/>
          <w:sz w:val="28"/>
          <w:szCs w:val="28"/>
        </w:rPr>
        <w:t>I</w:t>
      </w:r>
      <w:r w:rsidRPr="4A754EB0">
        <w:rPr>
          <w:b/>
          <w:bCs/>
          <w:sz w:val="28"/>
          <w:szCs w:val="28"/>
        </w:rPr>
        <w:t>nterest</w:t>
      </w:r>
    </w:p>
    <w:p w14:paraId="53814CEE" w14:textId="42874162" w:rsidR="00EE6E66" w:rsidRDefault="00EE6E66"/>
    <w:p w14:paraId="227259E7" w14:textId="2C7E83FA" w:rsidR="00132026" w:rsidRPr="00797ED7" w:rsidRDefault="00132026" w:rsidP="00132026">
      <w:pPr>
        <w:pStyle w:val="NoSpacing"/>
        <w:jc w:val="both"/>
      </w:pPr>
      <w:bookmarkStart w:id="0" w:name="_Hlk116295107"/>
      <w:r>
        <w:t xml:space="preserve">Developing a generic </w:t>
      </w:r>
      <w:r w:rsidRPr="006935C7">
        <w:rPr>
          <w:b/>
          <w:bCs/>
        </w:rPr>
        <w:t>standalone module for displaced children</w:t>
      </w:r>
      <w:r>
        <w:t xml:space="preserve"> for </w:t>
      </w:r>
      <w:r w:rsidRPr="005F034B">
        <w:rPr>
          <w:b/>
          <w:bCs/>
        </w:rPr>
        <w:t>national social service workforce</w:t>
      </w:r>
      <w:r>
        <w:t xml:space="preserve"> (SSWF) </w:t>
      </w:r>
      <w:r w:rsidRPr="005F034B">
        <w:rPr>
          <w:b/>
          <w:bCs/>
        </w:rPr>
        <w:t>training institutions</w:t>
      </w:r>
      <w:r>
        <w:t xml:space="preserve"> in </w:t>
      </w:r>
      <w:r w:rsidR="00BD5BC9">
        <w:t xml:space="preserve">UNICEF </w:t>
      </w:r>
      <w:r w:rsidR="00EA5017">
        <w:t>program countries</w:t>
      </w:r>
      <w:r>
        <w:t xml:space="preserve"> (Universities, Technical Colleges, Ministries</w:t>
      </w:r>
      <w:r w:rsidR="005F034B">
        <w:t>’</w:t>
      </w:r>
      <w:r>
        <w:t xml:space="preserve"> training institutions…).</w:t>
      </w:r>
    </w:p>
    <w:bookmarkEnd w:id="0"/>
    <w:p w14:paraId="357638EA" w14:textId="1372465F" w:rsidR="00EE6E66" w:rsidRDefault="00EE6E66"/>
    <w:p w14:paraId="5CC0D2D8" w14:textId="19FEEDDF" w:rsidR="00EE6E66" w:rsidRPr="00656CA8" w:rsidRDefault="00EE6E66" w:rsidP="00132026">
      <w:pPr>
        <w:pStyle w:val="ListParagraph"/>
        <w:numPr>
          <w:ilvl w:val="0"/>
          <w:numId w:val="1"/>
        </w:numPr>
        <w:rPr>
          <w:b/>
          <w:bCs/>
          <w:sz w:val="24"/>
          <w:szCs w:val="24"/>
        </w:rPr>
      </w:pPr>
      <w:r w:rsidRPr="00656CA8">
        <w:rPr>
          <w:b/>
          <w:bCs/>
          <w:sz w:val="24"/>
          <w:szCs w:val="24"/>
        </w:rPr>
        <w:t>Timeline</w:t>
      </w:r>
    </w:p>
    <w:tbl>
      <w:tblPr>
        <w:tblStyle w:val="TableGrid"/>
        <w:tblW w:w="9322" w:type="dxa"/>
        <w:tblInd w:w="-113" w:type="dxa"/>
        <w:tblLook w:val="04A0" w:firstRow="1" w:lastRow="0" w:firstColumn="1" w:lastColumn="0" w:noHBand="0" w:noVBand="1"/>
      </w:tblPr>
      <w:tblGrid>
        <w:gridCol w:w="4351"/>
        <w:gridCol w:w="4971"/>
      </w:tblGrid>
      <w:tr w:rsidR="00132026" w14:paraId="579E7FAA" w14:textId="77777777" w:rsidTr="2594631E">
        <w:tc>
          <w:tcPr>
            <w:tcW w:w="4351" w:type="dxa"/>
          </w:tcPr>
          <w:p w14:paraId="5390396A" w14:textId="56958285" w:rsidR="00132026" w:rsidRDefault="00132026" w:rsidP="00132026">
            <w:r w:rsidRPr="00D739A4">
              <w:t xml:space="preserve">Posted </w:t>
            </w:r>
          </w:p>
        </w:tc>
        <w:tc>
          <w:tcPr>
            <w:tcW w:w="4971" w:type="dxa"/>
          </w:tcPr>
          <w:p w14:paraId="5EF77DB5" w14:textId="65E275D8" w:rsidR="00132026" w:rsidRDefault="00BA6F9B" w:rsidP="00132026">
            <w:r>
              <w:t>04 November 2022</w:t>
            </w:r>
          </w:p>
        </w:tc>
      </w:tr>
      <w:tr w:rsidR="00132026" w14:paraId="2C3D7752" w14:textId="77777777" w:rsidTr="2594631E">
        <w:tc>
          <w:tcPr>
            <w:tcW w:w="4351" w:type="dxa"/>
          </w:tcPr>
          <w:p w14:paraId="769480B6" w14:textId="40BD01DB" w:rsidR="00132026" w:rsidRDefault="00132026" w:rsidP="00132026">
            <w:r w:rsidRPr="00D739A4">
              <w:t xml:space="preserve">Clarification Request </w:t>
            </w:r>
          </w:p>
        </w:tc>
        <w:tc>
          <w:tcPr>
            <w:tcW w:w="4971" w:type="dxa"/>
          </w:tcPr>
          <w:p w14:paraId="3A1AABCC" w14:textId="05948349" w:rsidR="00132026" w:rsidRDefault="004E7EC9" w:rsidP="00132026">
            <w:r>
              <w:t>15 December 2022</w:t>
            </w:r>
          </w:p>
        </w:tc>
      </w:tr>
      <w:tr w:rsidR="00132026" w14:paraId="521DB538" w14:textId="77777777" w:rsidTr="2594631E">
        <w:tc>
          <w:tcPr>
            <w:tcW w:w="4351" w:type="dxa"/>
          </w:tcPr>
          <w:p w14:paraId="4D173FD5" w14:textId="2DFD0AB9" w:rsidR="00132026" w:rsidRDefault="00132026" w:rsidP="00132026">
            <w:r w:rsidRPr="00D739A4">
              <w:t xml:space="preserve">Application Deadline </w:t>
            </w:r>
          </w:p>
        </w:tc>
        <w:tc>
          <w:tcPr>
            <w:tcW w:w="4971" w:type="dxa"/>
          </w:tcPr>
          <w:p w14:paraId="0FF8AD51" w14:textId="3B6DBB3F" w:rsidR="00132026" w:rsidRDefault="000D556D" w:rsidP="00132026">
            <w:r>
              <w:t xml:space="preserve">20 </w:t>
            </w:r>
            <w:r w:rsidR="007956DA">
              <w:t>December 2022</w:t>
            </w:r>
          </w:p>
        </w:tc>
      </w:tr>
      <w:tr w:rsidR="00132026" w14:paraId="5BBD6182" w14:textId="77777777" w:rsidTr="2594631E">
        <w:tc>
          <w:tcPr>
            <w:tcW w:w="4351" w:type="dxa"/>
          </w:tcPr>
          <w:p w14:paraId="58BE1968" w14:textId="5F911EB7" w:rsidR="00132026" w:rsidRDefault="00132026" w:rsidP="00132026">
            <w:r w:rsidRPr="00D739A4">
              <w:t xml:space="preserve">Notification of Results </w:t>
            </w:r>
          </w:p>
        </w:tc>
        <w:tc>
          <w:tcPr>
            <w:tcW w:w="4971" w:type="dxa"/>
          </w:tcPr>
          <w:p w14:paraId="0FE1927C" w14:textId="06E66E11" w:rsidR="00132026" w:rsidRDefault="00F95EC0" w:rsidP="00132026">
            <w:r>
              <w:t>06 January 2023</w:t>
            </w:r>
          </w:p>
        </w:tc>
      </w:tr>
      <w:tr w:rsidR="00132026" w14:paraId="696930C5" w14:textId="77777777" w:rsidTr="2594631E">
        <w:tc>
          <w:tcPr>
            <w:tcW w:w="4351" w:type="dxa"/>
          </w:tcPr>
          <w:p w14:paraId="0B52967D" w14:textId="7E648F50" w:rsidR="00132026" w:rsidRDefault="00132026" w:rsidP="00132026">
            <w:r w:rsidRPr="00D739A4">
              <w:t xml:space="preserve">Start </w:t>
            </w:r>
            <w:r w:rsidR="00E10AB3">
              <w:t>d</w:t>
            </w:r>
            <w:r w:rsidRPr="00D739A4">
              <w:t xml:space="preserve">ate </w:t>
            </w:r>
          </w:p>
        </w:tc>
        <w:tc>
          <w:tcPr>
            <w:tcW w:w="4971" w:type="dxa"/>
          </w:tcPr>
          <w:p w14:paraId="7A640037" w14:textId="64CB279B" w:rsidR="00132026" w:rsidRDefault="00E10AB3" w:rsidP="00132026">
            <w:r>
              <w:t>January 2023</w:t>
            </w:r>
          </w:p>
        </w:tc>
      </w:tr>
      <w:tr w:rsidR="00E10AB3" w14:paraId="3E3463CB" w14:textId="77777777" w:rsidTr="2594631E">
        <w:tc>
          <w:tcPr>
            <w:tcW w:w="4351" w:type="dxa"/>
          </w:tcPr>
          <w:p w14:paraId="4E12986E" w14:textId="05F58E4F" w:rsidR="00E10AB3" w:rsidRPr="00D739A4" w:rsidRDefault="00E10AB3" w:rsidP="00132026">
            <w:r>
              <w:t>End date</w:t>
            </w:r>
          </w:p>
        </w:tc>
        <w:tc>
          <w:tcPr>
            <w:tcW w:w="4971" w:type="dxa"/>
          </w:tcPr>
          <w:p w14:paraId="3A6E8D6D" w14:textId="2B567DE3" w:rsidR="00E10AB3" w:rsidRDefault="00E10AB3" w:rsidP="00132026">
            <w:r>
              <w:t>June 2024</w:t>
            </w:r>
          </w:p>
        </w:tc>
      </w:tr>
    </w:tbl>
    <w:p w14:paraId="0F24ECC7" w14:textId="169C43B8" w:rsidR="00EE6E66" w:rsidRDefault="00EE6E66"/>
    <w:p w14:paraId="03DEB0E1" w14:textId="352F705F" w:rsidR="00EE6E66" w:rsidRPr="00656CA8" w:rsidRDefault="00EE6E66" w:rsidP="00EE6E66">
      <w:pPr>
        <w:pStyle w:val="ListParagraph"/>
        <w:numPr>
          <w:ilvl w:val="0"/>
          <w:numId w:val="1"/>
        </w:numPr>
        <w:rPr>
          <w:b/>
          <w:bCs/>
          <w:sz w:val="24"/>
          <w:szCs w:val="24"/>
        </w:rPr>
      </w:pPr>
      <w:r w:rsidRPr="00656CA8">
        <w:rPr>
          <w:b/>
          <w:bCs/>
          <w:sz w:val="24"/>
          <w:szCs w:val="24"/>
        </w:rPr>
        <w:t>Locations</w:t>
      </w:r>
    </w:p>
    <w:p w14:paraId="77F6ACF2" w14:textId="1D8FB41B" w:rsidR="00EE6E66" w:rsidRDefault="00132026">
      <w:r>
        <w:t>Global</w:t>
      </w:r>
      <w:r w:rsidR="00E10AB3">
        <w:t>. Selected Civil Society Organization</w:t>
      </w:r>
      <w:r w:rsidR="00BD5BC9">
        <w:t>(</w:t>
      </w:r>
      <w:r w:rsidR="00E10AB3">
        <w:t>s</w:t>
      </w:r>
      <w:r w:rsidR="00BD5BC9">
        <w:t>)</w:t>
      </w:r>
      <w:r w:rsidR="00E10AB3">
        <w:t xml:space="preserve"> to be based in a </w:t>
      </w:r>
      <w:r w:rsidR="00BD5BC9">
        <w:t xml:space="preserve">UNICEF </w:t>
      </w:r>
      <w:r w:rsidR="00E10AB3">
        <w:t>program country</w:t>
      </w:r>
    </w:p>
    <w:p w14:paraId="6A23AC20" w14:textId="758F24FC" w:rsidR="00EE6E66" w:rsidRDefault="00EE6E66"/>
    <w:p w14:paraId="0F8ABDD4" w14:textId="29C08542" w:rsidR="00EE6E66" w:rsidRPr="00656CA8" w:rsidRDefault="00EE6E66" w:rsidP="00EE6E66">
      <w:pPr>
        <w:pStyle w:val="ListParagraph"/>
        <w:numPr>
          <w:ilvl w:val="0"/>
          <w:numId w:val="1"/>
        </w:numPr>
        <w:rPr>
          <w:b/>
          <w:bCs/>
          <w:sz w:val="24"/>
          <w:szCs w:val="24"/>
        </w:rPr>
      </w:pPr>
      <w:r w:rsidRPr="00656CA8">
        <w:rPr>
          <w:b/>
          <w:bCs/>
          <w:sz w:val="24"/>
          <w:szCs w:val="24"/>
        </w:rPr>
        <w:t>Sectors, areas of specialization</w:t>
      </w:r>
    </w:p>
    <w:p w14:paraId="55681CEC" w14:textId="20929003" w:rsidR="00EE6E66" w:rsidRDefault="00735CD4">
      <w:r>
        <w:t>Social workforce capacity building in the Global South</w:t>
      </w:r>
      <w:r w:rsidR="005552DD">
        <w:t>;</w:t>
      </w:r>
      <w:r>
        <w:t xml:space="preserve"> c</w:t>
      </w:r>
      <w:r w:rsidR="00132026">
        <w:t>hild protection</w:t>
      </w:r>
      <w:r w:rsidR="005552DD" w:rsidRPr="005552DD">
        <w:t xml:space="preserve"> </w:t>
      </w:r>
      <w:r w:rsidR="005552DD">
        <w:t>in displacement contexts;</w:t>
      </w:r>
      <w:r w:rsidR="00132026">
        <w:t xml:space="preserve"> national system strengthening</w:t>
      </w:r>
      <w:r w:rsidR="005552DD">
        <w:t>;</w:t>
      </w:r>
      <w:r w:rsidR="005F034B">
        <w:t xml:space="preserve"> pre-service and in-service curriculum development</w:t>
      </w:r>
    </w:p>
    <w:p w14:paraId="37616693" w14:textId="77777777" w:rsidR="00132026" w:rsidRDefault="00132026"/>
    <w:p w14:paraId="731851A0" w14:textId="425842D7" w:rsidR="00EE6E66" w:rsidRPr="00656CA8" w:rsidRDefault="00EE6E66" w:rsidP="00EE6E66">
      <w:pPr>
        <w:pStyle w:val="ListParagraph"/>
        <w:numPr>
          <w:ilvl w:val="0"/>
          <w:numId w:val="1"/>
        </w:numPr>
        <w:rPr>
          <w:b/>
          <w:bCs/>
          <w:sz w:val="24"/>
          <w:szCs w:val="24"/>
        </w:rPr>
      </w:pPr>
      <w:r w:rsidRPr="00656CA8">
        <w:rPr>
          <w:b/>
          <w:bCs/>
          <w:sz w:val="24"/>
          <w:szCs w:val="24"/>
        </w:rPr>
        <w:t>Issuing agency</w:t>
      </w:r>
    </w:p>
    <w:p w14:paraId="4F090054" w14:textId="04BB334D" w:rsidR="00EE6E66" w:rsidRDefault="00132026">
      <w:r>
        <w:t>UNICEF</w:t>
      </w:r>
    </w:p>
    <w:p w14:paraId="6E630725" w14:textId="6816196A" w:rsidR="00EE6E66" w:rsidRDefault="00EE6E66"/>
    <w:p w14:paraId="32D9E4D4" w14:textId="52714D73" w:rsidR="00EE6E66" w:rsidRPr="00656CA8" w:rsidRDefault="00EE6E66" w:rsidP="00EE6E66">
      <w:pPr>
        <w:pStyle w:val="ListParagraph"/>
        <w:numPr>
          <w:ilvl w:val="0"/>
          <w:numId w:val="1"/>
        </w:numPr>
        <w:rPr>
          <w:b/>
          <w:bCs/>
          <w:sz w:val="24"/>
          <w:szCs w:val="24"/>
        </w:rPr>
      </w:pPr>
      <w:r w:rsidRPr="00656CA8">
        <w:rPr>
          <w:b/>
          <w:bCs/>
          <w:sz w:val="24"/>
          <w:szCs w:val="24"/>
        </w:rPr>
        <w:t>Project background</w:t>
      </w:r>
    </w:p>
    <w:p w14:paraId="2DB1BE11" w14:textId="77777777" w:rsidR="00132026" w:rsidRDefault="00132026" w:rsidP="00132026">
      <w:pPr>
        <w:pStyle w:val="NoSpacing"/>
        <w:numPr>
          <w:ilvl w:val="0"/>
          <w:numId w:val="3"/>
        </w:numPr>
        <w:jc w:val="both"/>
      </w:pPr>
      <w:r>
        <w:t>People, including children, are displaced and migrate for a wide range of reasons including conflict, insecurity, climate, and poverty. They also move as they pursue better educational, livelihood and professional opportunities.</w:t>
      </w:r>
    </w:p>
    <w:p w14:paraId="16D550D2" w14:textId="77777777" w:rsidR="00132026" w:rsidRPr="00696B79" w:rsidRDefault="00132026" w:rsidP="00132026">
      <w:pPr>
        <w:pStyle w:val="NoSpacing"/>
        <w:numPr>
          <w:ilvl w:val="0"/>
          <w:numId w:val="4"/>
        </w:numPr>
        <w:jc w:val="both"/>
      </w:pPr>
      <w:r>
        <w:t xml:space="preserve">By May 2022 (includes Ukraine+), more than 100 million people were forcibly displaced worldwide by persecution, conflict, violence, human rights </w:t>
      </w:r>
      <w:proofErr w:type="gramStart"/>
      <w:r>
        <w:t>violations</w:t>
      </w:r>
      <w:proofErr w:type="gramEnd"/>
      <w:r>
        <w:t xml:space="preserve"> or events seriously disturbing public order. In many countries, more than 50% of the people needing protection are children.</w:t>
      </w:r>
    </w:p>
    <w:p w14:paraId="108A3613" w14:textId="77777777" w:rsidR="00132026" w:rsidRPr="00696B79" w:rsidRDefault="00132026" w:rsidP="00132026">
      <w:pPr>
        <w:pStyle w:val="NoSpacing"/>
        <w:numPr>
          <w:ilvl w:val="0"/>
          <w:numId w:val="4"/>
        </w:numPr>
        <w:jc w:val="both"/>
      </w:pPr>
      <w:r w:rsidRPr="00696B79">
        <w:t>At end 2021, the figure was 89.3 million, comprising:</w:t>
      </w:r>
    </w:p>
    <w:p w14:paraId="214929B5" w14:textId="77777777" w:rsidR="00132026" w:rsidRPr="00696B79" w:rsidRDefault="00132026" w:rsidP="00132026">
      <w:pPr>
        <w:pStyle w:val="NoSpacing"/>
        <w:numPr>
          <w:ilvl w:val="1"/>
          <w:numId w:val="4"/>
        </w:numPr>
        <w:jc w:val="both"/>
      </w:pPr>
      <w:r w:rsidRPr="00696B79">
        <w:t>27.1 million refugees</w:t>
      </w:r>
    </w:p>
    <w:p w14:paraId="0ED1BE14" w14:textId="77777777" w:rsidR="00132026" w:rsidRPr="00696B79" w:rsidRDefault="00132026" w:rsidP="00132026">
      <w:pPr>
        <w:pStyle w:val="NoSpacing"/>
        <w:numPr>
          <w:ilvl w:val="1"/>
          <w:numId w:val="4"/>
        </w:numPr>
        <w:jc w:val="both"/>
      </w:pPr>
      <w:r w:rsidRPr="00696B79">
        <w:t>21.3 million refugees under UNHCR’s mandate</w:t>
      </w:r>
    </w:p>
    <w:p w14:paraId="1F75B705" w14:textId="77777777" w:rsidR="00132026" w:rsidRPr="00696B79" w:rsidRDefault="00132026" w:rsidP="00132026">
      <w:pPr>
        <w:pStyle w:val="NoSpacing"/>
        <w:numPr>
          <w:ilvl w:val="1"/>
          <w:numId w:val="4"/>
        </w:numPr>
        <w:jc w:val="both"/>
      </w:pPr>
      <w:r w:rsidRPr="00696B79">
        <w:t>5.8 million Palestine refugees under UNRWA’s mandate</w:t>
      </w:r>
    </w:p>
    <w:p w14:paraId="01FB05AD" w14:textId="77777777" w:rsidR="00132026" w:rsidRPr="00696B79" w:rsidRDefault="00132026" w:rsidP="00132026">
      <w:pPr>
        <w:pStyle w:val="NoSpacing"/>
        <w:numPr>
          <w:ilvl w:val="1"/>
          <w:numId w:val="4"/>
        </w:numPr>
        <w:jc w:val="both"/>
      </w:pPr>
      <w:r w:rsidRPr="00696B79">
        <w:t>53.2 million internally displaced people</w:t>
      </w:r>
    </w:p>
    <w:p w14:paraId="16155C92" w14:textId="77777777" w:rsidR="00132026" w:rsidRPr="00696B79" w:rsidRDefault="00132026" w:rsidP="00132026">
      <w:pPr>
        <w:pStyle w:val="NoSpacing"/>
        <w:numPr>
          <w:ilvl w:val="1"/>
          <w:numId w:val="4"/>
        </w:numPr>
        <w:jc w:val="both"/>
      </w:pPr>
      <w:r w:rsidRPr="00696B79">
        <w:t>4.6 million asylum seekers</w:t>
      </w:r>
    </w:p>
    <w:p w14:paraId="4C8D12A6" w14:textId="77777777" w:rsidR="00132026" w:rsidRPr="00696B79" w:rsidRDefault="00132026" w:rsidP="00132026">
      <w:pPr>
        <w:pStyle w:val="NoSpacing"/>
        <w:numPr>
          <w:ilvl w:val="1"/>
          <w:numId w:val="4"/>
        </w:numPr>
        <w:jc w:val="both"/>
      </w:pPr>
      <w:r w:rsidRPr="00696B79">
        <w:t>4.4 million Venezuelans displaced abroad</w:t>
      </w:r>
    </w:p>
    <w:p w14:paraId="5B115154" w14:textId="77777777" w:rsidR="00132026" w:rsidRDefault="00132026" w:rsidP="00132026">
      <w:pPr>
        <w:pStyle w:val="NoSpacing"/>
        <w:numPr>
          <w:ilvl w:val="0"/>
          <w:numId w:val="3"/>
        </w:numPr>
        <w:jc w:val="both"/>
      </w:pPr>
      <w:r>
        <w:t>In doing so, children are exposed to violence, including gender-based violence, accidents, poor reception conditions, trafficking, child-labour, family separation, child recruitment…</w:t>
      </w:r>
    </w:p>
    <w:p w14:paraId="4269FA5A" w14:textId="77777777" w:rsidR="00132026" w:rsidRDefault="00132026" w:rsidP="00132026">
      <w:pPr>
        <w:pStyle w:val="NoSpacing"/>
        <w:numPr>
          <w:ilvl w:val="0"/>
          <w:numId w:val="3"/>
        </w:numPr>
        <w:jc w:val="both"/>
      </w:pPr>
      <w:r>
        <w:lastRenderedPageBreak/>
        <w:t>In several contexts, they also suffer from discriminatory access to social services such as health, education, social protection, housing, and WASH.</w:t>
      </w:r>
    </w:p>
    <w:p w14:paraId="76222BEC" w14:textId="03474368" w:rsidR="00132026" w:rsidRDefault="00132026" w:rsidP="00132026">
      <w:pPr>
        <w:pStyle w:val="NoSpacing"/>
        <w:numPr>
          <w:ilvl w:val="0"/>
          <w:numId w:val="3"/>
        </w:numPr>
        <w:jc w:val="both"/>
      </w:pPr>
      <w:r>
        <w:t>Acknowledging the need for specific responses to displaced children immediate needs, governments, UN agencies and civil society organizations have found it more effective and sustainable to support their integration into national child protection systems (Global Compacts).</w:t>
      </w:r>
    </w:p>
    <w:p w14:paraId="5FF18C66" w14:textId="77777777" w:rsidR="00132026" w:rsidRDefault="00132026" w:rsidP="00132026">
      <w:pPr>
        <w:pStyle w:val="NoSpacing"/>
        <w:ind w:left="360"/>
        <w:jc w:val="both"/>
      </w:pPr>
    </w:p>
    <w:p w14:paraId="17FBECD4" w14:textId="77777777" w:rsidR="00132026" w:rsidRDefault="00132026" w:rsidP="00132026">
      <w:pPr>
        <w:pStyle w:val="NoSpacing"/>
        <w:numPr>
          <w:ilvl w:val="0"/>
          <w:numId w:val="3"/>
        </w:numPr>
        <w:jc w:val="both"/>
      </w:pPr>
      <w:r>
        <w:t>Social work, especially case management and the best interests’ procedure, are critical to identify and address vulnerabilities faced by displaced children.</w:t>
      </w:r>
    </w:p>
    <w:p w14:paraId="36B950AA" w14:textId="40298111" w:rsidR="00132026" w:rsidRDefault="00132026" w:rsidP="00132026">
      <w:pPr>
        <w:pStyle w:val="NoSpacing"/>
        <w:numPr>
          <w:ilvl w:val="0"/>
          <w:numId w:val="3"/>
        </w:numPr>
        <w:jc w:val="both"/>
      </w:pPr>
      <w:r>
        <w:t xml:space="preserve">While national social service workforces have professionalized over the years, they are not always equipped with the skills and knowledge required to provide </w:t>
      </w:r>
      <w:r w:rsidRPr="006935C7">
        <w:rPr>
          <w:b/>
          <w:bCs/>
        </w:rPr>
        <w:t>case management and apply the best interests’ procedure</w:t>
      </w:r>
      <w:r>
        <w:t xml:space="preserve"> to address the needs of </w:t>
      </w:r>
      <w:r w:rsidR="00C9370F">
        <w:t xml:space="preserve">displaced </w:t>
      </w:r>
      <w:r>
        <w:t>children.</w:t>
      </w:r>
    </w:p>
    <w:p w14:paraId="7E5866D1" w14:textId="77777777" w:rsidR="00132026" w:rsidRDefault="00132026" w:rsidP="00132026">
      <w:pPr>
        <w:pStyle w:val="NoSpacing"/>
        <w:numPr>
          <w:ilvl w:val="0"/>
          <w:numId w:val="3"/>
        </w:numPr>
        <w:jc w:val="both"/>
      </w:pPr>
      <w:r>
        <w:t xml:space="preserve">Even though many standalone trainings and tools have been developed by humanitarian and development actors, these are not necessarily designed to become part of regular pre-service and in-service curricula, for a national audience, part and parcel of national child protection systems investments into social service workforces. It is also likely existing modules are not adequately disseminated. </w:t>
      </w:r>
    </w:p>
    <w:p w14:paraId="206D50B2" w14:textId="77777777" w:rsidR="00132026" w:rsidRDefault="00132026" w:rsidP="00132026">
      <w:pPr>
        <w:pStyle w:val="NoSpacing"/>
        <w:numPr>
          <w:ilvl w:val="0"/>
          <w:numId w:val="3"/>
        </w:numPr>
        <w:jc w:val="both"/>
      </w:pPr>
      <w:r>
        <w:t xml:space="preserve">Cognizant of the long-term contribution national social service workforce training institutions make to sustainable child protection </w:t>
      </w:r>
      <w:proofErr w:type="gramStart"/>
      <w:r>
        <w:t>systems,</w:t>
      </w:r>
      <w:proofErr w:type="gramEnd"/>
      <w:r>
        <w:t xml:space="preserve"> this initiative recognises the critical role of the social service workforce.</w:t>
      </w:r>
    </w:p>
    <w:p w14:paraId="7108C5AE" w14:textId="1E97297A" w:rsidR="00656CA8" w:rsidRDefault="008806F0" w:rsidP="00656CA8">
      <w:pPr>
        <w:pStyle w:val="NoSpacing"/>
        <w:numPr>
          <w:ilvl w:val="0"/>
          <w:numId w:val="3"/>
        </w:numPr>
        <w:jc w:val="both"/>
      </w:pPr>
      <w:r>
        <w:t>The module</w:t>
      </w:r>
      <w:r>
        <w:t xml:space="preserve"> will be</w:t>
      </w:r>
      <w:r>
        <w:t xml:space="preserve"> developed under UNICEF HQ’s leadership, in close collaboration with UNHCR HQ, supported by an </w:t>
      </w:r>
      <w:r w:rsidRPr="00303128">
        <w:rPr>
          <w:b/>
          <w:bCs/>
        </w:rPr>
        <w:t>expert advisory group</w:t>
      </w:r>
      <w:r>
        <w:t xml:space="preserve"> from the Global Alliance for Child Protection in Humanitarian Action</w:t>
      </w:r>
      <w:r>
        <w:t xml:space="preserve">. It will subsequently </w:t>
      </w:r>
      <w:r w:rsidR="00656CA8">
        <w:t xml:space="preserve">be promoted at country level with the relevant social work training institutions and authorities to facilitate pre-service and in-service training on these issues, in view of gradually establishing a cadre of personnel understanding the vulnerabilities of displaced children, and able to respond by mobilizing, adjusting where necessary, national systems. </w:t>
      </w:r>
    </w:p>
    <w:p w14:paraId="5C91FC21" w14:textId="67826709" w:rsidR="00EE6E66" w:rsidRDefault="00EE6E66"/>
    <w:p w14:paraId="10B7B770" w14:textId="38D533DF" w:rsidR="00EE6E66" w:rsidRPr="00656CA8" w:rsidRDefault="00EE6E66" w:rsidP="00EE6E66">
      <w:pPr>
        <w:pStyle w:val="ListParagraph"/>
        <w:numPr>
          <w:ilvl w:val="0"/>
          <w:numId w:val="1"/>
        </w:numPr>
        <w:rPr>
          <w:b/>
          <w:bCs/>
          <w:sz w:val="24"/>
          <w:szCs w:val="24"/>
        </w:rPr>
      </w:pPr>
      <w:r w:rsidRPr="00656CA8">
        <w:rPr>
          <w:b/>
          <w:bCs/>
          <w:sz w:val="24"/>
          <w:szCs w:val="24"/>
        </w:rPr>
        <w:t>Expected results</w:t>
      </w:r>
    </w:p>
    <w:p w14:paraId="6021AFF5" w14:textId="6E3EBE54" w:rsidR="00297F7C" w:rsidRDefault="00297F7C" w:rsidP="00656CA8">
      <w:pPr>
        <w:pStyle w:val="NoSpacing"/>
        <w:numPr>
          <w:ilvl w:val="0"/>
          <w:numId w:val="7"/>
        </w:numPr>
        <w:jc w:val="both"/>
      </w:pPr>
      <w:r>
        <w:t xml:space="preserve">The selected Civil Society Organization </w:t>
      </w:r>
      <w:r>
        <w:t xml:space="preserve">(CSO) (Universities, Technical Colleges, Ministries own training institutions…) is expected to </w:t>
      </w:r>
      <w:r w:rsidR="00952A47">
        <w:t xml:space="preserve">first </w:t>
      </w:r>
      <w:r>
        <w:t>develop</w:t>
      </w:r>
      <w:r>
        <w:t xml:space="preserve"> </w:t>
      </w:r>
      <w:r w:rsidRPr="00297F7C">
        <w:rPr>
          <w:b/>
          <w:bCs/>
        </w:rPr>
        <w:t>an induction paper</w:t>
      </w:r>
      <w:r>
        <w:t xml:space="preserve">, clearly outlining the steps it proposes towards the development of a </w:t>
      </w:r>
      <w:r>
        <w:t xml:space="preserve">generic </w:t>
      </w:r>
      <w:r w:rsidRPr="006935C7">
        <w:rPr>
          <w:b/>
          <w:bCs/>
        </w:rPr>
        <w:t>standalone module for displaced children</w:t>
      </w:r>
      <w:r>
        <w:rPr>
          <w:b/>
          <w:bCs/>
        </w:rPr>
        <w:t xml:space="preserve">. </w:t>
      </w:r>
    </w:p>
    <w:p w14:paraId="448550F6" w14:textId="77777777" w:rsidR="00297F7C" w:rsidRDefault="00297F7C" w:rsidP="00297F7C">
      <w:pPr>
        <w:pStyle w:val="NoSpacing"/>
        <w:ind w:left="360"/>
        <w:jc w:val="both"/>
      </w:pPr>
    </w:p>
    <w:p w14:paraId="6E82261E" w14:textId="01A3F8CE" w:rsidR="00656CA8" w:rsidRPr="00797ED7" w:rsidRDefault="00155CED" w:rsidP="00656CA8">
      <w:pPr>
        <w:pStyle w:val="NoSpacing"/>
        <w:numPr>
          <w:ilvl w:val="0"/>
          <w:numId w:val="7"/>
        </w:numPr>
        <w:jc w:val="both"/>
      </w:pPr>
      <w:r>
        <w:t xml:space="preserve">The selected Civil Society Organization (CSO) </w:t>
      </w:r>
      <w:r w:rsidR="00BD5BC9">
        <w:t xml:space="preserve">(Universities, Technical Colleges, Ministries own training institutions…) </w:t>
      </w:r>
      <w:r>
        <w:t>is expected to d</w:t>
      </w:r>
      <w:r w:rsidR="00656CA8">
        <w:t xml:space="preserve">evelop a generic </w:t>
      </w:r>
      <w:r w:rsidR="00656CA8" w:rsidRPr="006935C7">
        <w:rPr>
          <w:b/>
          <w:bCs/>
        </w:rPr>
        <w:t>standalone module for displaced children</w:t>
      </w:r>
      <w:r w:rsidR="00656CA8">
        <w:t xml:space="preserve"> for </w:t>
      </w:r>
      <w:r w:rsidR="00656CA8" w:rsidRPr="00656CA8">
        <w:rPr>
          <w:b/>
          <w:bCs/>
        </w:rPr>
        <w:t>national social service workforce</w:t>
      </w:r>
      <w:r w:rsidR="00656CA8">
        <w:t xml:space="preserve"> (SSWF) </w:t>
      </w:r>
      <w:r w:rsidR="00656CA8" w:rsidRPr="00656CA8">
        <w:rPr>
          <w:b/>
          <w:bCs/>
        </w:rPr>
        <w:t>training institutions</w:t>
      </w:r>
      <w:r w:rsidR="00656CA8">
        <w:t xml:space="preserve"> in </w:t>
      </w:r>
      <w:r w:rsidR="00BD5BC9">
        <w:t>UNICEF program countries</w:t>
      </w:r>
      <w:r w:rsidR="00656CA8">
        <w:t>.</w:t>
      </w:r>
    </w:p>
    <w:p w14:paraId="6633B6CB" w14:textId="55FABC1F" w:rsidR="00EE6E66" w:rsidRDefault="00155CED" w:rsidP="00656CA8">
      <w:pPr>
        <w:pStyle w:val="NoSpacing"/>
        <w:numPr>
          <w:ilvl w:val="0"/>
          <w:numId w:val="6"/>
        </w:numPr>
        <w:jc w:val="both"/>
      </w:pPr>
      <w:r>
        <w:t>T</w:t>
      </w:r>
      <w:r w:rsidR="00132026">
        <w:t xml:space="preserve">he module </w:t>
      </w:r>
      <w:r>
        <w:t xml:space="preserve">will be </w:t>
      </w:r>
      <w:r w:rsidR="00132026">
        <w:t xml:space="preserve">as </w:t>
      </w:r>
      <w:r w:rsidR="00132026" w:rsidRPr="00656CA8">
        <w:rPr>
          <w:b/>
          <w:bCs/>
        </w:rPr>
        <w:t>versatile</w:t>
      </w:r>
      <w:r w:rsidR="00132026">
        <w:t xml:space="preserve"> as possible to respond to the needs in a wide range of contexts. </w:t>
      </w:r>
      <w:r>
        <w:t>T</w:t>
      </w:r>
      <w:r w:rsidR="00132026">
        <w:t>he generic module will be adapt</w:t>
      </w:r>
      <w:r>
        <w:t>able</w:t>
      </w:r>
      <w:r w:rsidR="00132026">
        <w:t xml:space="preserve"> </w:t>
      </w:r>
      <w:r w:rsidR="00656CA8">
        <w:t xml:space="preserve">at minimal costs, </w:t>
      </w:r>
      <w:r w:rsidR="00132026">
        <w:t>to national environment</w:t>
      </w:r>
      <w:r w:rsidR="000955F5">
        <w:t>s</w:t>
      </w:r>
      <w:r w:rsidR="00132026">
        <w:t xml:space="preserve">, the issues faced by </w:t>
      </w:r>
      <w:r w:rsidR="00656CA8">
        <w:t xml:space="preserve">displaced </w:t>
      </w:r>
      <w:r w:rsidR="00132026">
        <w:t>children, the capacity, and the role of the social workforce to be trained.</w:t>
      </w:r>
    </w:p>
    <w:p w14:paraId="596A7C1F" w14:textId="77777777" w:rsidR="000955F5" w:rsidRDefault="000955F5" w:rsidP="000955F5">
      <w:pPr>
        <w:pStyle w:val="NoSpacing"/>
        <w:ind w:left="360"/>
        <w:jc w:val="both"/>
      </w:pPr>
    </w:p>
    <w:p w14:paraId="16ABC786" w14:textId="2CA704CE" w:rsidR="00656CA8" w:rsidRDefault="00656CA8" w:rsidP="00656CA8">
      <w:pPr>
        <w:pStyle w:val="NoSpacing"/>
        <w:numPr>
          <w:ilvl w:val="0"/>
          <w:numId w:val="4"/>
        </w:numPr>
        <w:jc w:val="both"/>
      </w:pPr>
      <w:r>
        <w:t xml:space="preserve">The development of the module will </w:t>
      </w:r>
      <w:r w:rsidR="00155CED">
        <w:t xml:space="preserve">first </w:t>
      </w:r>
      <w:r>
        <w:t xml:space="preserve">be informed by the </w:t>
      </w:r>
      <w:r w:rsidRPr="00656CA8">
        <w:rPr>
          <w:b/>
          <w:bCs/>
        </w:rPr>
        <w:t>mapping</w:t>
      </w:r>
      <w:r>
        <w:t xml:space="preserve">, the </w:t>
      </w:r>
      <w:r w:rsidRPr="00656CA8">
        <w:rPr>
          <w:b/>
          <w:bCs/>
        </w:rPr>
        <w:t>scoping</w:t>
      </w:r>
      <w:r>
        <w:t xml:space="preserve">, </w:t>
      </w:r>
      <w:r w:rsidR="00155CED">
        <w:t xml:space="preserve">the </w:t>
      </w:r>
      <w:r w:rsidR="00155CED" w:rsidRPr="00656CA8">
        <w:rPr>
          <w:b/>
          <w:bCs/>
        </w:rPr>
        <w:t>compilation</w:t>
      </w:r>
      <w:r w:rsidR="00155CED">
        <w:rPr>
          <w:b/>
          <w:bCs/>
        </w:rPr>
        <w:t>,</w:t>
      </w:r>
      <w:r w:rsidR="00155CED">
        <w:t xml:space="preserve"> </w:t>
      </w:r>
      <w:r>
        <w:t xml:space="preserve">the </w:t>
      </w:r>
      <w:r w:rsidRPr="00656CA8">
        <w:rPr>
          <w:b/>
          <w:bCs/>
        </w:rPr>
        <w:t xml:space="preserve">critical </w:t>
      </w:r>
      <w:r w:rsidR="00A05817">
        <w:rPr>
          <w:b/>
          <w:bCs/>
        </w:rPr>
        <w:t xml:space="preserve">and systematic </w:t>
      </w:r>
      <w:r w:rsidRPr="00656CA8">
        <w:rPr>
          <w:b/>
          <w:bCs/>
        </w:rPr>
        <w:t>review</w:t>
      </w:r>
      <w:r>
        <w:t xml:space="preserve"> and of </w:t>
      </w:r>
      <w:r w:rsidR="005F034B" w:rsidRPr="005F034B">
        <w:rPr>
          <w:b/>
          <w:bCs/>
        </w:rPr>
        <w:t xml:space="preserve">at least </w:t>
      </w:r>
      <w:r w:rsidR="00297F7C">
        <w:rPr>
          <w:b/>
          <w:bCs/>
        </w:rPr>
        <w:t>3-</w:t>
      </w:r>
      <w:r w:rsidR="005F034B" w:rsidRPr="005F034B">
        <w:rPr>
          <w:b/>
          <w:bCs/>
        </w:rPr>
        <w:t xml:space="preserve">4 </w:t>
      </w:r>
      <w:r w:rsidRPr="005F034B">
        <w:rPr>
          <w:b/>
          <w:bCs/>
        </w:rPr>
        <w:t>existing</w:t>
      </w:r>
      <w:r w:rsidRPr="00656CA8">
        <w:rPr>
          <w:b/>
          <w:bCs/>
        </w:rPr>
        <w:t xml:space="preserve"> similar initiatives</w:t>
      </w:r>
      <w:r>
        <w:t xml:space="preserve"> </w:t>
      </w:r>
      <w:r w:rsidR="004A6B56">
        <w:t xml:space="preserve">by comparable social work force training institutions </w:t>
      </w:r>
      <w:r>
        <w:t xml:space="preserve">at country/regional level e.g., Malaysia, Thailand, Serbia, Ghana, South Africa… </w:t>
      </w:r>
    </w:p>
    <w:p w14:paraId="722F3FCB" w14:textId="67CC2AE9" w:rsidR="00BD5BC9" w:rsidRDefault="00BD5BC9" w:rsidP="00656CA8">
      <w:pPr>
        <w:pStyle w:val="NoSpacing"/>
        <w:numPr>
          <w:ilvl w:val="0"/>
          <w:numId w:val="4"/>
        </w:numPr>
        <w:jc w:val="both"/>
      </w:pPr>
      <w:r>
        <w:t xml:space="preserve">The selected CSO is expected to reach out to and </w:t>
      </w:r>
      <w:r w:rsidR="000955F5">
        <w:t>suggest</w:t>
      </w:r>
      <w:r>
        <w:t xml:space="preserve"> </w:t>
      </w:r>
      <w:r w:rsidRPr="00BD5BC9">
        <w:rPr>
          <w:b/>
          <w:bCs/>
        </w:rPr>
        <w:t xml:space="preserve">adequate partnership modalities </w:t>
      </w:r>
      <w:r w:rsidR="004C2192">
        <w:rPr>
          <w:b/>
          <w:bCs/>
        </w:rPr>
        <w:t>for</w:t>
      </w:r>
      <w:r w:rsidRPr="00BD5BC9">
        <w:rPr>
          <w:b/>
          <w:bCs/>
        </w:rPr>
        <w:t xml:space="preserve"> the social work training institutions </w:t>
      </w:r>
      <w:r>
        <w:t>it proposes to collaborate</w:t>
      </w:r>
      <w:r w:rsidR="004C2192">
        <w:t xml:space="preserve"> with</w:t>
      </w:r>
      <w:r>
        <w:t>.</w:t>
      </w:r>
      <w:r w:rsidR="000955F5">
        <w:t xml:space="preserve"> The suggested modalities will include </w:t>
      </w:r>
      <w:r w:rsidR="00600C9E">
        <w:t xml:space="preserve">the </w:t>
      </w:r>
      <w:r w:rsidR="00600C9E" w:rsidRPr="00600C9E">
        <w:rPr>
          <w:b/>
          <w:bCs/>
        </w:rPr>
        <w:t xml:space="preserve">establishment </w:t>
      </w:r>
      <w:r w:rsidR="000955F5" w:rsidRPr="00600C9E">
        <w:rPr>
          <w:b/>
          <w:bCs/>
        </w:rPr>
        <w:t>a joint review committee</w:t>
      </w:r>
      <w:r w:rsidR="000955F5">
        <w:t xml:space="preserve"> made of </w:t>
      </w:r>
      <w:r w:rsidR="008806F0">
        <w:t xml:space="preserve">expert </w:t>
      </w:r>
      <w:r w:rsidR="000955F5">
        <w:t>representatives of the social training institutions participating</w:t>
      </w:r>
      <w:r w:rsidR="008806F0">
        <w:t>,</w:t>
      </w:r>
      <w:r w:rsidR="000955F5">
        <w:t xml:space="preserve"> in view of building a consensus and ownership of the final product.</w:t>
      </w:r>
    </w:p>
    <w:p w14:paraId="624D1502" w14:textId="77777777" w:rsidR="000955F5" w:rsidRDefault="000955F5" w:rsidP="000955F5">
      <w:pPr>
        <w:pStyle w:val="NoSpacing"/>
        <w:ind w:left="360"/>
        <w:jc w:val="both"/>
      </w:pPr>
    </w:p>
    <w:p w14:paraId="57122BA8" w14:textId="77777777" w:rsidR="00656CA8" w:rsidRDefault="00656CA8" w:rsidP="00656CA8">
      <w:pPr>
        <w:pStyle w:val="NoSpacing"/>
        <w:numPr>
          <w:ilvl w:val="0"/>
          <w:numId w:val="4"/>
        </w:numPr>
        <w:jc w:val="both"/>
      </w:pPr>
      <w:r>
        <w:lastRenderedPageBreak/>
        <w:t xml:space="preserve">The module will be designed for </w:t>
      </w:r>
      <w:r w:rsidRPr="00656CA8">
        <w:rPr>
          <w:b/>
          <w:bCs/>
        </w:rPr>
        <w:t>in-service</w:t>
      </w:r>
      <w:r>
        <w:t xml:space="preserve"> and </w:t>
      </w:r>
      <w:r w:rsidRPr="00656CA8">
        <w:rPr>
          <w:b/>
          <w:bCs/>
        </w:rPr>
        <w:t>pre-service training</w:t>
      </w:r>
      <w:r>
        <w:t xml:space="preserve"> of the social workforce involved in programs for refugee, </w:t>
      </w:r>
      <w:proofErr w:type="gramStart"/>
      <w:r>
        <w:t>returnee</w:t>
      </w:r>
      <w:proofErr w:type="gramEnd"/>
      <w:r>
        <w:t xml:space="preserve"> and migrant children. It will focus on </w:t>
      </w:r>
      <w:r w:rsidRPr="00656CA8">
        <w:rPr>
          <w:b/>
          <w:bCs/>
        </w:rPr>
        <w:t>the practitioners’ role</w:t>
      </w:r>
      <w:r>
        <w:t>, the personnel in direct contact with children and their families.</w:t>
      </w:r>
    </w:p>
    <w:p w14:paraId="6F21ACE9" w14:textId="77777777" w:rsidR="00656CA8" w:rsidRDefault="00656CA8" w:rsidP="00656CA8">
      <w:pPr>
        <w:pStyle w:val="NoSpacing"/>
        <w:numPr>
          <w:ilvl w:val="0"/>
          <w:numId w:val="4"/>
        </w:numPr>
        <w:jc w:val="both"/>
      </w:pPr>
      <w:r>
        <w:t xml:space="preserve">As the training module is not envisaged as a full-fledged course, the length, the depth, the tools, and methodologies proposed will allow for a </w:t>
      </w:r>
      <w:r w:rsidRPr="00656CA8">
        <w:rPr>
          <w:b/>
          <w:bCs/>
        </w:rPr>
        <w:t>manageable incorporation into pre-existing social workforce training curricula</w:t>
      </w:r>
      <w:r>
        <w:t>.</w:t>
      </w:r>
    </w:p>
    <w:p w14:paraId="79F36186" w14:textId="422BDA4C" w:rsidR="00656CA8" w:rsidRDefault="00656CA8" w:rsidP="00656CA8">
      <w:pPr>
        <w:pStyle w:val="NoSpacing"/>
        <w:numPr>
          <w:ilvl w:val="0"/>
          <w:numId w:val="4"/>
        </w:numPr>
        <w:jc w:val="both"/>
      </w:pPr>
      <w:r>
        <w:t xml:space="preserve">While innovative and user-friendly, the module will rely on widely known concepts and approaches to facilitate adaptation and roll-out within national social work training institutions. It will consist in brief, </w:t>
      </w:r>
      <w:r w:rsidRPr="00656CA8">
        <w:rPr>
          <w:b/>
          <w:bCs/>
        </w:rPr>
        <w:t>practical presentations</w:t>
      </w:r>
      <w:r>
        <w:t xml:space="preserve">, </w:t>
      </w:r>
      <w:r w:rsidRPr="00656CA8">
        <w:rPr>
          <w:b/>
          <w:bCs/>
        </w:rPr>
        <w:t>exercises</w:t>
      </w:r>
      <w:r>
        <w:t xml:space="preserve">, </w:t>
      </w:r>
      <w:r w:rsidRPr="00656CA8">
        <w:rPr>
          <w:b/>
          <w:bCs/>
        </w:rPr>
        <w:t>handbook</w:t>
      </w:r>
      <w:r>
        <w:t xml:space="preserve"> including exercises and </w:t>
      </w:r>
      <w:r w:rsidRPr="00656CA8">
        <w:rPr>
          <w:b/>
          <w:bCs/>
        </w:rPr>
        <w:t>trainer’s manual</w:t>
      </w:r>
      <w:r>
        <w:t xml:space="preserve">. An </w:t>
      </w:r>
      <w:r w:rsidRPr="00656CA8">
        <w:rPr>
          <w:b/>
          <w:bCs/>
        </w:rPr>
        <w:t>in-person</w:t>
      </w:r>
      <w:r>
        <w:t xml:space="preserve"> and an </w:t>
      </w:r>
      <w:r w:rsidRPr="00656CA8">
        <w:rPr>
          <w:b/>
          <w:bCs/>
        </w:rPr>
        <w:t>online</w:t>
      </w:r>
      <w:r>
        <w:t xml:space="preserve"> version will be developed.</w:t>
      </w:r>
    </w:p>
    <w:p w14:paraId="27627705" w14:textId="77777777" w:rsidR="000955F5" w:rsidRDefault="000955F5" w:rsidP="000955F5">
      <w:pPr>
        <w:pStyle w:val="NoSpacing"/>
        <w:ind w:left="360"/>
        <w:jc w:val="both"/>
      </w:pPr>
    </w:p>
    <w:p w14:paraId="08F14DB1" w14:textId="24B0FE31" w:rsidR="00656CA8" w:rsidRDefault="00656CA8" w:rsidP="00656CA8">
      <w:pPr>
        <w:pStyle w:val="NoSpacing"/>
        <w:numPr>
          <w:ilvl w:val="0"/>
          <w:numId w:val="4"/>
        </w:numPr>
        <w:jc w:val="both"/>
      </w:pPr>
      <w:r>
        <w:t xml:space="preserve">The proposed </w:t>
      </w:r>
      <w:r w:rsidR="00155CED">
        <w:t xml:space="preserve">standard </w:t>
      </w:r>
      <w:r>
        <w:t xml:space="preserve">length will be </w:t>
      </w:r>
      <w:r w:rsidRPr="00656CA8">
        <w:rPr>
          <w:b/>
          <w:bCs/>
        </w:rPr>
        <w:t>approximately 50 hours</w:t>
      </w:r>
      <w:r>
        <w:t xml:space="preserve"> (lectures, group work, exercises) complemented by </w:t>
      </w:r>
      <w:r w:rsidRPr="004A6B56">
        <w:rPr>
          <w:b/>
          <w:bCs/>
        </w:rPr>
        <w:t>2-3 weeks internship</w:t>
      </w:r>
      <w:r>
        <w:t>.</w:t>
      </w:r>
    </w:p>
    <w:p w14:paraId="2C3E2418" w14:textId="07474ECA" w:rsidR="00656CA8" w:rsidRDefault="00656CA8" w:rsidP="00656CA8">
      <w:pPr>
        <w:pStyle w:val="NoSpacing"/>
        <w:numPr>
          <w:ilvl w:val="0"/>
          <w:numId w:val="4"/>
        </w:numPr>
        <w:jc w:val="both"/>
      </w:pPr>
      <w:r>
        <w:t>The key themes to cover will include at minima: displacement/migration in the national contexts, rights-based approach/C</w:t>
      </w:r>
      <w:r w:rsidR="00A05817">
        <w:t xml:space="preserve">hild </w:t>
      </w:r>
      <w:r>
        <w:t>P</w:t>
      </w:r>
      <w:r w:rsidR="00A05817">
        <w:t>rotection</w:t>
      </w:r>
      <w:r>
        <w:t xml:space="preserve"> frameworks, C</w:t>
      </w:r>
      <w:r w:rsidR="00A05817">
        <w:t xml:space="preserve">hild </w:t>
      </w:r>
      <w:r>
        <w:t>P</w:t>
      </w:r>
      <w:r w:rsidR="00A05817">
        <w:t>rotection</w:t>
      </w:r>
      <w:r>
        <w:t xml:space="preserve"> Minimum Standards in Humanitarian Action, gender-based violence, C</w:t>
      </w:r>
      <w:r w:rsidR="00A05817">
        <w:t xml:space="preserve">hild </w:t>
      </w:r>
      <w:r>
        <w:t>P</w:t>
      </w:r>
      <w:r w:rsidR="00A05817">
        <w:t>rotection</w:t>
      </w:r>
      <w:r>
        <w:t xml:space="preserve"> risks in </w:t>
      </w:r>
      <w:r w:rsidR="00A05817">
        <w:t>displacement</w:t>
      </w:r>
      <w:r>
        <w:t xml:space="preserve">, </w:t>
      </w:r>
      <w:r w:rsidRPr="006935C7">
        <w:rPr>
          <w:b/>
          <w:bCs/>
        </w:rPr>
        <w:t>case management and best interests</w:t>
      </w:r>
      <w:r>
        <w:t>, alternative care, and durable solutions.</w:t>
      </w:r>
    </w:p>
    <w:p w14:paraId="5DB8F519" w14:textId="49AFF83B" w:rsidR="00EE6E66" w:rsidRDefault="00EE6E66"/>
    <w:p w14:paraId="54624A18" w14:textId="0A7F556B" w:rsidR="00EE6E66" w:rsidRPr="00656CA8" w:rsidRDefault="00CC1BEA" w:rsidP="00EE6E66">
      <w:pPr>
        <w:pStyle w:val="ListParagraph"/>
        <w:numPr>
          <w:ilvl w:val="0"/>
          <w:numId w:val="1"/>
        </w:numPr>
        <w:rPr>
          <w:b/>
          <w:bCs/>
        </w:rPr>
      </w:pPr>
      <w:r>
        <w:rPr>
          <w:b/>
          <w:bCs/>
        </w:rPr>
        <w:t>B</w:t>
      </w:r>
      <w:r w:rsidR="00EE6E66" w:rsidRPr="00656CA8">
        <w:rPr>
          <w:b/>
          <w:bCs/>
        </w:rPr>
        <w:t>udget</w:t>
      </w:r>
    </w:p>
    <w:p w14:paraId="2422701A" w14:textId="567F3830" w:rsidR="00EE6E66" w:rsidRDefault="00CC1BEA">
      <w:r>
        <w:t xml:space="preserve">To be provided by </w:t>
      </w:r>
      <w:r w:rsidR="00297F7C">
        <w:t>applying SCOs</w:t>
      </w:r>
      <w:r w:rsidR="00600C9E">
        <w:t>.</w:t>
      </w:r>
      <w:r>
        <w:t xml:space="preserve"> Include own costs, and costs related to the collaboration with relevant social work training institutions</w:t>
      </w:r>
      <w:r w:rsidR="00600C9E">
        <w:t xml:space="preserve">. UNICEF will be responsible for disbursing funds to the participating training institutions. </w:t>
      </w:r>
    </w:p>
    <w:p w14:paraId="4642D448" w14:textId="77777777" w:rsidR="005552DD" w:rsidRDefault="005552DD"/>
    <w:p w14:paraId="70398371" w14:textId="2F11CA30" w:rsidR="00EE6E66" w:rsidRPr="004A6B56" w:rsidRDefault="00EE6E66" w:rsidP="004A6B56">
      <w:pPr>
        <w:pStyle w:val="ListParagraph"/>
        <w:numPr>
          <w:ilvl w:val="0"/>
          <w:numId w:val="1"/>
        </w:numPr>
        <w:rPr>
          <w:b/>
          <w:bCs/>
        </w:rPr>
      </w:pPr>
      <w:r w:rsidRPr="00AB2A02">
        <w:rPr>
          <w:b/>
          <w:bCs/>
        </w:rPr>
        <w:t>Other information</w:t>
      </w:r>
      <w:r w:rsidR="004A6B56">
        <w:rPr>
          <w:b/>
          <w:bCs/>
        </w:rPr>
        <w:t xml:space="preserve">. </w:t>
      </w:r>
      <w:r w:rsidR="004A6B56">
        <w:t>Proposed approach and timeline:</w:t>
      </w:r>
    </w:p>
    <w:tbl>
      <w:tblPr>
        <w:tblStyle w:val="TableGrid"/>
        <w:tblW w:w="0" w:type="auto"/>
        <w:tblLook w:val="04A0" w:firstRow="1" w:lastRow="0" w:firstColumn="1" w:lastColumn="0" w:noHBand="0" w:noVBand="1"/>
      </w:tblPr>
      <w:tblGrid>
        <w:gridCol w:w="6188"/>
        <w:gridCol w:w="479"/>
        <w:gridCol w:w="479"/>
        <w:gridCol w:w="479"/>
        <w:gridCol w:w="479"/>
        <w:gridCol w:w="479"/>
        <w:gridCol w:w="479"/>
      </w:tblGrid>
      <w:tr w:rsidR="004A6B56" w:rsidRPr="00A96830" w14:paraId="73938524" w14:textId="77777777" w:rsidTr="004A6B56">
        <w:tc>
          <w:tcPr>
            <w:tcW w:w="6188" w:type="dxa"/>
          </w:tcPr>
          <w:p w14:paraId="594660D2" w14:textId="77777777" w:rsidR="004A6B56" w:rsidRPr="00A96830" w:rsidRDefault="004A6B56" w:rsidP="00A7466F">
            <w:pPr>
              <w:pStyle w:val="NoSpacing"/>
              <w:jc w:val="center"/>
              <w:rPr>
                <w:b/>
                <w:bCs/>
              </w:rPr>
            </w:pPr>
            <w:r w:rsidRPr="00A96830">
              <w:rPr>
                <w:b/>
                <w:bCs/>
              </w:rPr>
              <w:t>Tasks</w:t>
            </w:r>
          </w:p>
        </w:tc>
        <w:tc>
          <w:tcPr>
            <w:tcW w:w="479" w:type="dxa"/>
          </w:tcPr>
          <w:p w14:paraId="7BFD3E90" w14:textId="77777777" w:rsidR="004A6B56" w:rsidRPr="00A96830" w:rsidRDefault="004A6B56" w:rsidP="00A7466F">
            <w:pPr>
              <w:pStyle w:val="NoSpacing"/>
              <w:jc w:val="center"/>
              <w:rPr>
                <w:b/>
                <w:bCs/>
              </w:rPr>
            </w:pPr>
            <w:r w:rsidRPr="00A96830">
              <w:rPr>
                <w:b/>
                <w:bCs/>
              </w:rPr>
              <w:t>Q1</w:t>
            </w:r>
          </w:p>
        </w:tc>
        <w:tc>
          <w:tcPr>
            <w:tcW w:w="479" w:type="dxa"/>
          </w:tcPr>
          <w:p w14:paraId="3D562694" w14:textId="77777777" w:rsidR="004A6B56" w:rsidRPr="00A96830" w:rsidRDefault="004A6B56" w:rsidP="00A7466F">
            <w:pPr>
              <w:pStyle w:val="NoSpacing"/>
              <w:jc w:val="center"/>
              <w:rPr>
                <w:b/>
                <w:bCs/>
              </w:rPr>
            </w:pPr>
            <w:r w:rsidRPr="00A96830">
              <w:rPr>
                <w:b/>
                <w:bCs/>
              </w:rPr>
              <w:t>Q2</w:t>
            </w:r>
          </w:p>
        </w:tc>
        <w:tc>
          <w:tcPr>
            <w:tcW w:w="479" w:type="dxa"/>
          </w:tcPr>
          <w:p w14:paraId="2D12D6CE" w14:textId="77777777" w:rsidR="004A6B56" w:rsidRPr="00A96830" w:rsidRDefault="004A6B56" w:rsidP="00A7466F">
            <w:pPr>
              <w:pStyle w:val="NoSpacing"/>
              <w:jc w:val="center"/>
              <w:rPr>
                <w:b/>
                <w:bCs/>
              </w:rPr>
            </w:pPr>
            <w:r w:rsidRPr="00A96830">
              <w:rPr>
                <w:b/>
                <w:bCs/>
              </w:rPr>
              <w:t>Q3</w:t>
            </w:r>
          </w:p>
        </w:tc>
        <w:tc>
          <w:tcPr>
            <w:tcW w:w="479" w:type="dxa"/>
          </w:tcPr>
          <w:p w14:paraId="46C76AE9" w14:textId="77777777" w:rsidR="004A6B56" w:rsidRPr="00A96830" w:rsidRDefault="004A6B56" w:rsidP="00A7466F">
            <w:pPr>
              <w:pStyle w:val="NoSpacing"/>
              <w:jc w:val="center"/>
              <w:rPr>
                <w:b/>
                <w:bCs/>
              </w:rPr>
            </w:pPr>
            <w:r w:rsidRPr="00A96830">
              <w:rPr>
                <w:b/>
                <w:bCs/>
              </w:rPr>
              <w:t>Q4</w:t>
            </w:r>
          </w:p>
        </w:tc>
        <w:tc>
          <w:tcPr>
            <w:tcW w:w="479" w:type="dxa"/>
          </w:tcPr>
          <w:p w14:paraId="6B5D50D2" w14:textId="77777777" w:rsidR="004A6B56" w:rsidRPr="00A96830" w:rsidRDefault="004A6B56" w:rsidP="00A7466F">
            <w:pPr>
              <w:pStyle w:val="NoSpacing"/>
              <w:jc w:val="center"/>
              <w:rPr>
                <w:b/>
                <w:bCs/>
              </w:rPr>
            </w:pPr>
            <w:r>
              <w:rPr>
                <w:b/>
                <w:bCs/>
              </w:rPr>
              <w:t>Q5</w:t>
            </w:r>
          </w:p>
        </w:tc>
        <w:tc>
          <w:tcPr>
            <w:tcW w:w="479" w:type="dxa"/>
          </w:tcPr>
          <w:p w14:paraId="75F282DE" w14:textId="77777777" w:rsidR="004A6B56" w:rsidRDefault="004A6B56" w:rsidP="00A7466F">
            <w:pPr>
              <w:pStyle w:val="NoSpacing"/>
              <w:jc w:val="center"/>
              <w:rPr>
                <w:b/>
                <w:bCs/>
              </w:rPr>
            </w:pPr>
            <w:r>
              <w:rPr>
                <w:b/>
                <w:bCs/>
              </w:rPr>
              <w:t>Q6</w:t>
            </w:r>
          </w:p>
        </w:tc>
      </w:tr>
      <w:tr w:rsidR="004A6B56" w14:paraId="0FE040F6" w14:textId="77777777" w:rsidTr="004A6B56">
        <w:tc>
          <w:tcPr>
            <w:tcW w:w="6188" w:type="dxa"/>
          </w:tcPr>
          <w:p w14:paraId="5B74999E" w14:textId="2C75FC43" w:rsidR="004A6B56" w:rsidRDefault="004A6B56" w:rsidP="004A6B56">
            <w:pPr>
              <w:pStyle w:val="NoSpacing"/>
              <w:numPr>
                <w:ilvl w:val="0"/>
                <w:numId w:val="8"/>
              </w:numPr>
            </w:pPr>
            <w:r>
              <w:t>Inception report</w:t>
            </w:r>
            <w:r w:rsidR="001265BE">
              <w:t xml:space="preserve"> with proposed methodology</w:t>
            </w:r>
            <w:r w:rsidR="00C9370F">
              <w:t xml:space="preserve">, </w:t>
            </w:r>
            <w:r w:rsidR="00E10AB3">
              <w:t xml:space="preserve">workplan, </w:t>
            </w:r>
            <w:r w:rsidR="00C9370F">
              <w:t>timeline,</w:t>
            </w:r>
            <w:r w:rsidR="001265BE">
              <w:t xml:space="preserve"> and </w:t>
            </w:r>
            <w:r w:rsidR="00C9370F">
              <w:t xml:space="preserve">initial </w:t>
            </w:r>
            <w:r w:rsidR="001265BE">
              <w:t>outreach to sister social workforce training institution</w:t>
            </w:r>
            <w:r w:rsidR="00E10AB3">
              <w:t>(</w:t>
            </w:r>
            <w:r w:rsidR="001265BE">
              <w:t>s</w:t>
            </w:r>
            <w:r w:rsidR="00E10AB3">
              <w:t>)</w:t>
            </w:r>
          </w:p>
        </w:tc>
        <w:tc>
          <w:tcPr>
            <w:tcW w:w="479" w:type="dxa"/>
            <w:shd w:val="clear" w:color="auto" w:fill="BFBFBF" w:themeFill="background1" w:themeFillShade="BF"/>
          </w:tcPr>
          <w:p w14:paraId="2336272E" w14:textId="77777777" w:rsidR="004A6B56" w:rsidRDefault="004A6B56" w:rsidP="00A7466F">
            <w:pPr>
              <w:pStyle w:val="NoSpacing"/>
              <w:jc w:val="both"/>
            </w:pPr>
          </w:p>
        </w:tc>
        <w:tc>
          <w:tcPr>
            <w:tcW w:w="479" w:type="dxa"/>
            <w:shd w:val="clear" w:color="auto" w:fill="auto"/>
          </w:tcPr>
          <w:p w14:paraId="6F89CEF3" w14:textId="77777777" w:rsidR="004A6B56" w:rsidRDefault="004A6B56" w:rsidP="00A7466F">
            <w:pPr>
              <w:pStyle w:val="NoSpacing"/>
              <w:jc w:val="both"/>
            </w:pPr>
          </w:p>
        </w:tc>
        <w:tc>
          <w:tcPr>
            <w:tcW w:w="479" w:type="dxa"/>
            <w:shd w:val="clear" w:color="auto" w:fill="auto"/>
          </w:tcPr>
          <w:p w14:paraId="14D525CF" w14:textId="77777777" w:rsidR="004A6B56" w:rsidRDefault="004A6B56" w:rsidP="00A7466F">
            <w:pPr>
              <w:pStyle w:val="NoSpacing"/>
              <w:jc w:val="both"/>
            </w:pPr>
          </w:p>
        </w:tc>
        <w:tc>
          <w:tcPr>
            <w:tcW w:w="479" w:type="dxa"/>
          </w:tcPr>
          <w:p w14:paraId="50182E78" w14:textId="77777777" w:rsidR="004A6B56" w:rsidRDefault="004A6B56" w:rsidP="00A7466F">
            <w:pPr>
              <w:pStyle w:val="NoSpacing"/>
              <w:jc w:val="both"/>
            </w:pPr>
          </w:p>
        </w:tc>
        <w:tc>
          <w:tcPr>
            <w:tcW w:w="479" w:type="dxa"/>
          </w:tcPr>
          <w:p w14:paraId="4ABB9B3E" w14:textId="77777777" w:rsidR="004A6B56" w:rsidRDefault="004A6B56" w:rsidP="00A7466F">
            <w:pPr>
              <w:pStyle w:val="NoSpacing"/>
              <w:jc w:val="both"/>
            </w:pPr>
          </w:p>
        </w:tc>
        <w:tc>
          <w:tcPr>
            <w:tcW w:w="479" w:type="dxa"/>
          </w:tcPr>
          <w:p w14:paraId="1A3F77B6" w14:textId="77777777" w:rsidR="004A6B56" w:rsidRDefault="004A6B56" w:rsidP="00A7466F">
            <w:pPr>
              <w:pStyle w:val="NoSpacing"/>
              <w:jc w:val="both"/>
            </w:pPr>
          </w:p>
        </w:tc>
      </w:tr>
      <w:tr w:rsidR="004A6B56" w14:paraId="72B1D19F" w14:textId="77777777" w:rsidTr="00717115">
        <w:tc>
          <w:tcPr>
            <w:tcW w:w="6188" w:type="dxa"/>
          </w:tcPr>
          <w:p w14:paraId="59AB5C47" w14:textId="455B5581" w:rsidR="004A6B56" w:rsidRDefault="004A6B56" w:rsidP="004A6B56">
            <w:pPr>
              <w:pStyle w:val="NoSpacing"/>
              <w:numPr>
                <w:ilvl w:val="0"/>
                <w:numId w:val="8"/>
              </w:numPr>
            </w:pPr>
            <w:r>
              <w:t xml:space="preserve">Scoping, </w:t>
            </w:r>
            <w:r w:rsidR="00155CED">
              <w:t>compilation</w:t>
            </w:r>
            <w:r w:rsidR="00E10AB3">
              <w:t>,</w:t>
            </w:r>
            <w:r w:rsidR="00155CED">
              <w:t xml:space="preserve"> and </w:t>
            </w:r>
            <w:r>
              <w:t>critical review of existing comparable products</w:t>
            </w:r>
          </w:p>
        </w:tc>
        <w:tc>
          <w:tcPr>
            <w:tcW w:w="479" w:type="dxa"/>
            <w:shd w:val="clear" w:color="auto" w:fill="BFBFBF" w:themeFill="background1" w:themeFillShade="BF"/>
          </w:tcPr>
          <w:p w14:paraId="1DFFF58C" w14:textId="77777777" w:rsidR="004A6B56" w:rsidRDefault="004A6B56" w:rsidP="004A6B56">
            <w:pPr>
              <w:pStyle w:val="NoSpacing"/>
              <w:jc w:val="both"/>
            </w:pPr>
          </w:p>
        </w:tc>
        <w:tc>
          <w:tcPr>
            <w:tcW w:w="479" w:type="dxa"/>
            <w:shd w:val="clear" w:color="auto" w:fill="BFBFBF" w:themeFill="background1" w:themeFillShade="BF"/>
          </w:tcPr>
          <w:p w14:paraId="7F7BC8F5" w14:textId="77777777" w:rsidR="004A6B56" w:rsidRDefault="004A6B56" w:rsidP="004A6B56">
            <w:pPr>
              <w:pStyle w:val="NoSpacing"/>
              <w:jc w:val="both"/>
            </w:pPr>
          </w:p>
        </w:tc>
        <w:tc>
          <w:tcPr>
            <w:tcW w:w="479" w:type="dxa"/>
            <w:shd w:val="clear" w:color="auto" w:fill="BFBFBF" w:themeFill="background1" w:themeFillShade="BF"/>
          </w:tcPr>
          <w:p w14:paraId="4AD95BAF" w14:textId="77777777" w:rsidR="004A6B56" w:rsidRDefault="004A6B56" w:rsidP="004A6B56">
            <w:pPr>
              <w:pStyle w:val="NoSpacing"/>
              <w:jc w:val="both"/>
            </w:pPr>
          </w:p>
        </w:tc>
        <w:tc>
          <w:tcPr>
            <w:tcW w:w="479" w:type="dxa"/>
          </w:tcPr>
          <w:p w14:paraId="0F9F2C02" w14:textId="77777777" w:rsidR="004A6B56" w:rsidRDefault="004A6B56" w:rsidP="004A6B56">
            <w:pPr>
              <w:pStyle w:val="NoSpacing"/>
              <w:jc w:val="both"/>
            </w:pPr>
          </w:p>
        </w:tc>
        <w:tc>
          <w:tcPr>
            <w:tcW w:w="479" w:type="dxa"/>
          </w:tcPr>
          <w:p w14:paraId="6867FDA0" w14:textId="77777777" w:rsidR="004A6B56" w:rsidRDefault="004A6B56" w:rsidP="004A6B56">
            <w:pPr>
              <w:pStyle w:val="NoSpacing"/>
              <w:jc w:val="both"/>
            </w:pPr>
          </w:p>
        </w:tc>
        <w:tc>
          <w:tcPr>
            <w:tcW w:w="479" w:type="dxa"/>
          </w:tcPr>
          <w:p w14:paraId="7879C61A" w14:textId="77777777" w:rsidR="004A6B56" w:rsidRDefault="004A6B56" w:rsidP="004A6B56">
            <w:pPr>
              <w:pStyle w:val="NoSpacing"/>
              <w:jc w:val="both"/>
            </w:pPr>
          </w:p>
        </w:tc>
      </w:tr>
      <w:tr w:rsidR="004A6B56" w14:paraId="7B2434A8" w14:textId="77777777" w:rsidTr="00717115">
        <w:tc>
          <w:tcPr>
            <w:tcW w:w="6188" w:type="dxa"/>
          </w:tcPr>
          <w:p w14:paraId="2928C78E" w14:textId="5902EB12" w:rsidR="004A6B56" w:rsidRDefault="004A6B56" w:rsidP="004A6B56">
            <w:pPr>
              <w:pStyle w:val="NoSpacing"/>
              <w:numPr>
                <w:ilvl w:val="0"/>
                <w:numId w:val="8"/>
              </w:numPr>
            </w:pPr>
            <w:r w:rsidRPr="00EC1BE2">
              <w:t>Draft module including presentations, handbook</w:t>
            </w:r>
            <w:r>
              <w:t>,</w:t>
            </w:r>
            <w:r w:rsidRPr="00EC1BE2">
              <w:t xml:space="preserve"> and trainer’s manual </w:t>
            </w:r>
          </w:p>
        </w:tc>
        <w:tc>
          <w:tcPr>
            <w:tcW w:w="479" w:type="dxa"/>
          </w:tcPr>
          <w:p w14:paraId="1C7C502E" w14:textId="77777777" w:rsidR="004A6B56" w:rsidRDefault="004A6B56" w:rsidP="004A6B56">
            <w:pPr>
              <w:pStyle w:val="NoSpacing"/>
              <w:jc w:val="both"/>
            </w:pPr>
          </w:p>
        </w:tc>
        <w:tc>
          <w:tcPr>
            <w:tcW w:w="479" w:type="dxa"/>
            <w:shd w:val="clear" w:color="auto" w:fill="BFBFBF" w:themeFill="background1" w:themeFillShade="BF"/>
          </w:tcPr>
          <w:p w14:paraId="681CB406" w14:textId="77777777" w:rsidR="004A6B56" w:rsidRDefault="004A6B56" w:rsidP="004A6B56">
            <w:pPr>
              <w:pStyle w:val="NoSpacing"/>
              <w:jc w:val="both"/>
            </w:pPr>
          </w:p>
        </w:tc>
        <w:tc>
          <w:tcPr>
            <w:tcW w:w="479" w:type="dxa"/>
            <w:shd w:val="clear" w:color="auto" w:fill="BFBFBF" w:themeFill="background1" w:themeFillShade="BF"/>
          </w:tcPr>
          <w:p w14:paraId="303336AD" w14:textId="77777777" w:rsidR="004A6B56" w:rsidRPr="00E135F7" w:rsidRDefault="004A6B56" w:rsidP="004A6B56">
            <w:pPr>
              <w:pStyle w:val="NoSpacing"/>
              <w:jc w:val="both"/>
            </w:pPr>
          </w:p>
        </w:tc>
        <w:tc>
          <w:tcPr>
            <w:tcW w:w="479" w:type="dxa"/>
            <w:shd w:val="clear" w:color="auto" w:fill="BFBFBF" w:themeFill="background1" w:themeFillShade="BF"/>
          </w:tcPr>
          <w:p w14:paraId="37C56549" w14:textId="77777777" w:rsidR="004A6B56" w:rsidRPr="00E135F7" w:rsidRDefault="004A6B56" w:rsidP="004A6B56">
            <w:pPr>
              <w:pStyle w:val="NoSpacing"/>
              <w:jc w:val="both"/>
            </w:pPr>
          </w:p>
        </w:tc>
        <w:tc>
          <w:tcPr>
            <w:tcW w:w="479" w:type="dxa"/>
          </w:tcPr>
          <w:p w14:paraId="2ACB8494" w14:textId="77777777" w:rsidR="004A6B56" w:rsidRDefault="004A6B56" w:rsidP="004A6B56">
            <w:pPr>
              <w:pStyle w:val="NoSpacing"/>
              <w:jc w:val="both"/>
            </w:pPr>
          </w:p>
        </w:tc>
        <w:tc>
          <w:tcPr>
            <w:tcW w:w="479" w:type="dxa"/>
          </w:tcPr>
          <w:p w14:paraId="5CA9DA2F" w14:textId="77777777" w:rsidR="004A6B56" w:rsidRDefault="004A6B56" w:rsidP="004A6B56">
            <w:pPr>
              <w:pStyle w:val="NoSpacing"/>
              <w:jc w:val="both"/>
            </w:pPr>
          </w:p>
        </w:tc>
      </w:tr>
      <w:tr w:rsidR="004A6B56" w14:paraId="6391BB7B" w14:textId="77777777" w:rsidTr="004A6B56">
        <w:tc>
          <w:tcPr>
            <w:tcW w:w="6188" w:type="dxa"/>
          </w:tcPr>
          <w:p w14:paraId="37050D57" w14:textId="43F50835" w:rsidR="004A6B56" w:rsidRDefault="004A6B56" w:rsidP="004A6B56">
            <w:pPr>
              <w:pStyle w:val="NoSpacing"/>
              <w:numPr>
                <w:ilvl w:val="0"/>
                <w:numId w:val="8"/>
              </w:numPr>
            </w:pPr>
            <w:r w:rsidRPr="00EC1BE2">
              <w:t xml:space="preserve">Pilot phase with selected </w:t>
            </w:r>
            <w:r w:rsidR="00717115">
              <w:t xml:space="preserve">sister </w:t>
            </w:r>
            <w:r w:rsidRPr="00EC1BE2">
              <w:t>social work training institutions</w:t>
            </w:r>
            <w:r>
              <w:t xml:space="preserve"> including </w:t>
            </w:r>
            <w:r w:rsidR="00717115">
              <w:t xml:space="preserve">through </w:t>
            </w:r>
            <w:r>
              <w:t>contracted institution</w:t>
            </w:r>
          </w:p>
        </w:tc>
        <w:tc>
          <w:tcPr>
            <w:tcW w:w="479" w:type="dxa"/>
          </w:tcPr>
          <w:p w14:paraId="57DD8344" w14:textId="77777777" w:rsidR="004A6B56" w:rsidRDefault="004A6B56" w:rsidP="004A6B56">
            <w:pPr>
              <w:pStyle w:val="NoSpacing"/>
              <w:jc w:val="both"/>
            </w:pPr>
          </w:p>
        </w:tc>
        <w:tc>
          <w:tcPr>
            <w:tcW w:w="479" w:type="dxa"/>
          </w:tcPr>
          <w:p w14:paraId="6801BE8A" w14:textId="77777777" w:rsidR="004A6B56" w:rsidRDefault="004A6B56" w:rsidP="004A6B56">
            <w:pPr>
              <w:pStyle w:val="NoSpacing"/>
              <w:jc w:val="both"/>
            </w:pPr>
          </w:p>
        </w:tc>
        <w:tc>
          <w:tcPr>
            <w:tcW w:w="479" w:type="dxa"/>
          </w:tcPr>
          <w:p w14:paraId="25F7911F" w14:textId="77777777" w:rsidR="004A6B56" w:rsidRDefault="004A6B56" w:rsidP="004A6B56">
            <w:pPr>
              <w:pStyle w:val="NoSpacing"/>
              <w:jc w:val="both"/>
            </w:pPr>
          </w:p>
        </w:tc>
        <w:tc>
          <w:tcPr>
            <w:tcW w:w="479" w:type="dxa"/>
            <w:shd w:val="clear" w:color="auto" w:fill="auto"/>
          </w:tcPr>
          <w:p w14:paraId="258715B3" w14:textId="77777777" w:rsidR="004A6B56" w:rsidRDefault="004A6B56" w:rsidP="004A6B56">
            <w:pPr>
              <w:pStyle w:val="NoSpacing"/>
              <w:jc w:val="both"/>
            </w:pPr>
          </w:p>
        </w:tc>
        <w:tc>
          <w:tcPr>
            <w:tcW w:w="479" w:type="dxa"/>
            <w:shd w:val="clear" w:color="auto" w:fill="BFBFBF" w:themeFill="background1" w:themeFillShade="BF"/>
          </w:tcPr>
          <w:p w14:paraId="4A5839C9" w14:textId="77777777" w:rsidR="004A6B56" w:rsidRDefault="004A6B56" w:rsidP="004A6B56">
            <w:pPr>
              <w:pStyle w:val="NoSpacing"/>
              <w:jc w:val="both"/>
            </w:pPr>
          </w:p>
        </w:tc>
        <w:tc>
          <w:tcPr>
            <w:tcW w:w="479" w:type="dxa"/>
            <w:shd w:val="clear" w:color="auto" w:fill="BFBFBF" w:themeFill="background1" w:themeFillShade="BF"/>
          </w:tcPr>
          <w:p w14:paraId="35ADB1FB" w14:textId="77777777" w:rsidR="004A6B56" w:rsidRDefault="004A6B56" w:rsidP="004A6B56">
            <w:pPr>
              <w:pStyle w:val="NoSpacing"/>
              <w:jc w:val="both"/>
            </w:pPr>
          </w:p>
        </w:tc>
      </w:tr>
      <w:tr w:rsidR="004A6B56" w14:paraId="10D3C740" w14:textId="77777777" w:rsidTr="001265BE">
        <w:tc>
          <w:tcPr>
            <w:tcW w:w="6188" w:type="dxa"/>
          </w:tcPr>
          <w:p w14:paraId="68D23A98" w14:textId="77777777" w:rsidR="004A6B56" w:rsidRDefault="004A6B56" w:rsidP="004A6B56">
            <w:pPr>
              <w:pStyle w:val="NoSpacing"/>
              <w:numPr>
                <w:ilvl w:val="0"/>
                <w:numId w:val="8"/>
              </w:numPr>
            </w:pPr>
            <w:r>
              <w:t>Consolidating lessons from pilots</w:t>
            </w:r>
          </w:p>
        </w:tc>
        <w:tc>
          <w:tcPr>
            <w:tcW w:w="479" w:type="dxa"/>
          </w:tcPr>
          <w:p w14:paraId="641EBC0C" w14:textId="77777777" w:rsidR="004A6B56" w:rsidRDefault="004A6B56" w:rsidP="004A6B56">
            <w:pPr>
              <w:pStyle w:val="NoSpacing"/>
              <w:jc w:val="both"/>
            </w:pPr>
          </w:p>
        </w:tc>
        <w:tc>
          <w:tcPr>
            <w:tcW w:w="479" w:type="dxa"/>
          </w:tcPr>
          <w:p w14:paraId="0A21089B" w14:textId="77777777" w:rsidR="004A6B56" w:rsidRDefault="004A6B56" w:rsidP="004A6B56">
            <w:pPr>
              <w:pStyle w:val="NoSpacing"/>
              <w:jc w:val="both"/>
            </w:pPr>
          </w:p>
        </w:tc>
        <w:tc>
          <w:tcPr>
            <w:tcW w:w="479" w:type="dxa"/>
          </w:tcPr>
          <w:p w14:paraId="3053D988" w14:textId="77777777" w:rsidR="004A6B56" w:rsidRDefault="004A6B56" w:rsidP="004A6B56">
            <w:pPr>
              <w:pStyle w:val="NoSpacing"/>
              <w:jc w:val="both"/>
            </w:pPr>
          </w:p>
        </w:tc>
        <w:tc>
          <w:tcPr>
            <w:tcW w:w="479" w:type="dxa"/>
            <w:shd w:val="clear" w:color="auto" w:fill="auto"/>
          </w:tcPr>
          <w:p w14:paraId="1BCD0B3A" w14:textId="77777777" w:rsidR="004A6B56" w:rsidRDefault="004A6B56" w:rsidP="004A6B56">
            <w:pPr>
              <w:pStyle w:val="NoSpacing"/>
              <w:jc w:val="both"/>
            </w:pPr>
          </w:p>
        </w:tc>
        <w:tc>
          <w:tcPr>
            <w:tcW w:w="479" w:type="dxa"/>
            <w:shd w:val="clear" w:color="auto" w:fill="auto"/>
          </w:tcPr>
          <w:p w14:paraId="24347B3A" w14:textId="77777777" w:rsidR="004A6B56" w:rsidRDefault="004A6B56" w:rsidP="004A6B56">
            <w:pPr>
              <w:pStyle w:val="NoSpacing"/>
              <w:jc w:val="both"/>
            </w:pPr>
          </w:p>
        </w:tc>
        <w:tc>
          <w:tcPr>
            <w:tcW w:w="479" w:type="dxa"/>
            <w:shd w:val="clear" w:color="auto" w:fill="BFBFBF" w:themeFill="background1" w:themeFillShade="BF"/>
          </w:tcPr>
          <w:p w14:paraId="0C681AAB" w14:textId="77777777" w:rsidR="004A6B56" w:rsidRDefault="004A6B56" w:rsidP="004A6B56">
            <w:pPr>
              <w:pStyle w:val="NoSpacing"/>
              <w:jc w:val="both"/>
            </w:pPr>
          </w:p>
        </w:tc>
      </w:tr>
      <w:tr w:rsidR="004A6B56" w14:paraId="74B29B4A" w14:textId="77777777" w:rsidTr="001265BE">
        <w:tc>
          <w:tcPr>
            <w:tcW w:w="6188" w:type="dxa"/>
          </w:tcPr>
          <w:p w14:paraId="278F8D69" w14:textId="77777777" w:rsidR="004A6B56" w:rsidRDefault="004A6B56" w:rsidP="004A6B56">
            <w:pPr>
              <w:pStyle w:val="NoSpacing"/>
              <w:numPr>
                <w:ilvl w:val="0"/>
                <w:numId w:val="8"/>
              </w:numPr>
            </w:pPr>
            <w:r w:rsidRPr="00EC1BE2">
              <w:t>Dissemination</w:t>
            </w:r>
          </w:p>
        </w:tc>
        <w:tc>
          <w:tcPr>
            <w:tcW w:w="479" w:type="dxa"/>
          </w:tcPr>
          <w:p w14:paraId="4930C099" w14:textId="77777777" w:rsidR="004A6B56" w:rsidRDefault="004A6B56" w:rsidP="004A6B56">
            <w:pPr>
              <w:pStyle w:val="NoSpacing"/>
              <w:jc w:val="both"/>
            </w:pPr>
          </w:p>
        </w:tc>
        <w:tc>
          <w:tcPr>
            <w:tcW w:w="479" w:type="dxa"/>
          </w:tcPr>
          <w:p w14:paraId="6E59840C" w14:textId="77777777" w:rsidR="004A6B56" w:rsidRDefault="004A6B56" w:rsidP="004A6B56">
            <w:pPr>
              <w:pStyle w:val="NoSpacing"/>
              <w:jc w:val="both"/>
            </w:pPr>
          </w:p>
        </w:tc>
        <w:tc>
          <w:tcPr>
            <w:tcW w:w="479" w:type="dxa"/>
          </w:tcPr>
          <w:p w14:paraId="7B2BB1B9" w14:textId="77777777" w:rsidR="004A6B56" w:rsidRDefault="004A6B56" w:rsidP="004A6B56">
            <w:pPr>
              <w:pStyle w:val="NoSpacing"/>
              <w:jc w:val="both"/>
            </w:pPr>
          </w:p>
        </w:tc>
        <w:tc>
          <w:tcPr>
            <w:tcW w:w="479" w:type="dxa"/>
            <w:shd w:val="clear" w:color="auto" w:fill="auto"/>
          </w:tcPr>
          <w:p w14:paraId="564DFFAA" w14:textId="77777777" w:rsidR="004A6B56" w:rsidRDefault="004A6B56" w:rsidP="004A6B56">
            <w:pPr>
              <w:pStyle w:val="NoSpacing"/>
              <w:jc w:val="both"/>
            </w:pPr>
          </w:p>
        </w:tc>
        <w:tc>
          <w:tcPr>
            <w:tcW w:w="479" w:type="dxa"/>
            <w:shd w:val="clear" w:color="auto" w:fill="auto"/>
          </w:tcPr>
          <w:p w14:paraId="09560789" w14:textId="77777777" w:rsidR="004A6B56" w:rsidRDefault="004A6B56" w:rsidP="004A6B56">
            <w:pPr>
              <w:pStyle w:val="NoSpacing"/>
              <w:jc w:val="both"/>
            </w:pPr>
          </w:p>
        </w:tc>
        <w:tc>
          <w:tcPr>
            <w:tcW w:w="479" w:type="dxa"/>
            <w:shd w:val="clear" w:color="auto" w:fill="BFBFBF" w:themeFill="background1" w:themeFillShade="BF"/>
          </w:tcPr>
          <w:p w14:paraId="446BC007" w14:textId="77777777" w:rsidR="004A6B56" w:rsidRDefault="004A6B56" w:rsidP="004A6B56">
            <w:pPr>
              <w:pStyle w:val="NoSpacing"/>
              <w:jc w:val="both"/>
            </w:pPr>
          </w:p>
        </w:tc>
      </w:tr>
    </w:tbl>
    <w:p w14:paraId="003DADEF" w14:textId="77777777" w:rsidR="004A6B56" w:rsidRDefault="004A6B56"/>
    <w:p w14:paraId="34E7ED9A" w14:textId="4528CC79" w:rsidR="00EE6E66" w:rsidRPr="00AB2A02" w:rsidRDefault="00EE6E66" w:rsidP="00EE6E66">
      <w:pPr>
        <w:pStyle w:val="ListParagraph"/>
        <w:numPr>
          <w:ilvl w:val="0"/>
          <w:numId w:val="1"/>
        </w:numPr>
        <w:rPr>
          <w:b/>
          <w:bCs/>
        </w:rPr>
      </w:pPr>
      <w:r w:rsidRPr="00AB2A02">
        <w:rPr>
          <w:b/>
          <w:bCs/>
        </w:rPr>
        <w:t>Selection criteria</w:t>
      </w:r>
    </w:p>
    <w:tbl>
      <w:tblPr>
        <w:tblStyle w:val="TableGrid"/>
        <w:tblW w:w="0" w:type="auto"/>
        <w:tblLook w:val="04A0" w:firstRow="1" w:lastRow="0" w:firstColumn="1" w:lastColumn="0" w:noHBand="0" w:noVBand="1"/>
      </w:tblPr>
      <w:tblGrid>
        <w:gridCol w:w="2547"/>
        <w:gridCol w:w="5636"/>
        <w:gridCol w:w="879"/>
      </w:tblGrid>
      <w:tr w:rsidR="00FE6890" w:rsidRPr="005F034B" w14:paraId="647B8082" w14:textId="00746B7B" w:rsidTr="005F034B">
        <w:tc>
          <w:tcPr>
            <w:tcW w:w="2547" w:type="dxa"/>
          </w:tcPr>
          <w:p w14:paraId="4FF4AE3A" w14:textId="440F9A60" w:rsidR="00FE6890" w:rsidRPr="005F034B" w:rsidRDefault="00FE6890" w:rsidP="005F034B">
            <w:pPr>
              <w:jc w:val="center"/>
              <w:rPr>
                <w:b/>
                <w:bCs/>
              </w:rPr>
            </w:pPr>
            <w:r w:rsidRPr="005F034B">
              <w:rPr>
                <w:b/>
                <w:bCs/>
              </w:rPr>
              <w:t>Name</w:t>
            </w:r>
          </w:p>
        </w:tc>
        <w:tc>
          <w:tcPr>
            <w:tcW w:w="5650" w:type="dxa"/>
          </w:tcPr>
          <w:p w14:paraId="78CCD104" w14:textId="0CBA0D20" w:rsidR="00FE6890" w:rsidRPr="005F034B" w:rsidRDefault="00FE6890" w:rsidP="005F034B">
            <w:pPr>
              <w:jc w:val="center"/>
              <w:rPr>
                <w:b/>
                <w:bCs/>
              </w:rPr>
            </w:pPr>
            <w:r w:rsidRPr="005F034B">
              <w:rPr>
                <w:b/>
                <w:bCs/>
              </w:rPr>
              <w:t>Description</w:t>
            </w:r>
          </w:p>
        </w:tc>
        <w:tc>
          <w:tcPr>
            <w:tcW w:w="865" w:type="dxa"/>
          </w:tcPr>
          <w:p w14:paraId="0D4C0E33" w14:textId="6F65F365" w:rsidR="00FE6890" w:rsidRPr="005F034B" w:rsidRDefault="00FE6890" w:rsidP="005F034B">
            <w:pPr>
              <w:jc w:val="center"/>
              <w:rPr>
                <w:b/>
                <w:bCs/>
              </w:rPr>
            </w:pPr>
            <w:r w:rsidRPr="005F034B">
              <w:rPr>
                <w:b/>
                <w:bCs/>
              </w:rPr>
              <w:t>Weight</w:t>
            </w:r>
            <w:r w:rsidR="001265BE">
              <w:rPr>
                <w:b/>
                <w:bCs/>
              </w:rPr>
              <w:t xml:space="preserve"> (%)</w:t>
            </w:r>
          </w:p>
        </w:tc>
      </w:tr>
      <w:tr w:rsidR="00FE6890" w14:paraId="0A16D626" w14:textId="39C97D11" w:rsidTr="005F034B">
        <w:tc>
          <w:tcPr>
            <w:tcW w:w="2547" w:type="dxa"/>
          </w:tcPr>
          <w:p w14:paraId="696CCBC1" w14:textId="049F1E45" w:rsidR="00FE6890" w:rsidRDefault="00FE6890" w:rsidP="00E10AB3">
            <w:pPr>
              <w:pStyle w:val="ListParagraph"/>
              <w:numPr>
                <w:ilvl w:val="0"/>
                <w:numId w:val="11"/>
              </w:numPr>
            </w:pPr>
            <w:r>
              <w:t>Sector expertise and experience</w:t>
            </w:r>
          </w:p>
          <w:p w14:paraId="70FDF761" w14:textId="77777777" w:rsidR="00FE6890" w:rsidRDefault="00FE6890" w:rsidP="00BB7A85"/>
        </w:tc>
        <w:tc>
          <w:tcPr>
            <w:tcW w:w="5650" w:type="dxa"/>
          </w:tcPr>
          <w:p w14:paraId="5A08439D" w14:textId="2C964A49" w:rsidR="00FE6890" w:rsidRDefault="00FE6890" w:rsidP="005F034B">
            <w:r>
              <w:t xml:space="preserve">This selection criterion is used to </w:t>
            </w:r>
            <w:r w:rsidR="001265BE">
              <w:t>assess</w:t>
            </w:r>
            <w:r>
              <w:t xml:space="preserve"> previous expertise and experience in</w:t>
            </w:r>
            <w:r w:rsidR="005F034B">
              <w:t xml:space="preserve"> </w:t>
            </w:r>
            <w:r>
              <w:t>the sector/</w:t>
            </w:r>
            <w:r w:rsidR="005F034B">
              <w:t xml:space="preserve"> </w:t>
            </w:r>
            <w:r>
              <w:t>area of specialization to which the CFEI relates</w:t>
            </w:r>
            <w:r w:rsidR="005552DD">
              <w:t xml:space="preserve">: Social workforce capacity building in the Global South; child protection in displacement contexts; national system strengthening; pre-service and in-service curriculum development </w:t>
            </w:r>
          </w:p>
        </w:tc>
        <w:tc>
          <w:tcPr>
            <w:tcW w:w="865" w:type="dxa"/>
          </w:tcPr>
          <w:p w14:paraId="01CFBF8C" w14:textId="10599494" w:rsidR="00FE6890" w:rsidRDefault="00FE6890" w:rsidP="00BB7A85">
            <w:r>
              <w:t>15</w:t>
            </w:r>
          </w:p>
        </w:tc>
      </w:tr>
      <w:tr w:rsidR="00FE6890" w14:paraId="0A5464E5" w14:textId="19F408DF" w:rsidTr="005F034B">
        <w:tc>
          <w:tcPr>
            <w:tcW w:w="2547" w:type="dxa"/>
          </w:tcPr>
          <w:p w14:paraId="292229CD" w14:textId="37574A15" w:rsidR="00FE6890" w:rsidRDefault="00FE6890" w:rsidP="00E10AB3">
            <w:pPr>
              <w:pStyle w:val="ListParagraph"/>
              <w:numPr>
                <w:ilvl w:val="0"/>
                <w:numId w:val="10"/>
              </w:numPr>
            </w:pPr>
            <w:r>
              <w:lastRenderedPageBreak/>
              <w:t>Project management</w:t>
            </w:r>
          </w:p>
        </w:tc>
        <w:tc>
          <w:tcPr>
            <w:tcW w:w="5650" w:type="dxa"/>
          </w:tcPr>
          <w:p w14:paraId="1EAA6794" w14:textId="6E899A28" w:rsidR="00FE6890" w:rsidRDefault="00FE6890" w:rsidP="005F034B">
            <w:r>
              <w:t xml:space="preserve">This selection criterion is used to </w:t>
            </w:r>
            <w:r w:rsidR="005552DD">
              <w:t>assess</w:t>
            </w:r>
            <w:r>
              <w:t xml:space="preserve"> project management skills</w:t>
            </w:r>
          </w:p>
        </w:tc>
        <w:tc>
          <w:tcPr>
            <w:tcW w:w="865" w:type="dxa"/>
          </w:tcPr>
          <w:p w14:paraId="42051088" w14:textId="0E9AC803" w:rsidR="00FE6890" w:rsidRDefault="00FE6890" w:rsidP="00BB7A85">
            <w:r>
              <w:t>1</w:t>
            </w:r>
            <w:r w:rsidR="006B5C08">
              <w:t>0</w:t>
            </w:r>
          </w:p>
        </w:tc>
      </w:tr>
      <w:tr w:rsidR="00FE6890" w14:paraId="61903B85" w14:textId="575800C1" w:rsidTr="005F034B">
        <w:tc>
          <w:tcPr>
            <w:tcW w:w="2547" w:type="dxa"/>
          </w:tcPr>
          <w:p w14:paraId="6B9D3CA4" w14:textId="29A4FBA5" w:rsidR="00FE6890" w:rsidRDefault="005F034B" w:rsidP="00E10AB3">
            <w:pPr>
              <w:pStyle w:val="ListParagraph"/>
              <w:numPr>
                <w:ilvl w:val="0"/>
                <w:numId w:val="10"/>
              </w:numPr>
            </w:pPr>
            <w:r>
              <w:t>Geographical</w:t>
            </w:r>
            <w:r w:rsidR="00FE6890">
              <w:t xml:space="preserve"> experience and presence</w:t>
            </w:r>
          </w:p>
          <w:p w14:paraId="62AF6DA5" w14:textId="77777777" w:rsidR="00FE6890" w:rsidRDefault="00FE6890" w:rsidP="00BB7A85"/>
        </w:tc>
        <w:tc>
          <w:tcPr>
            <w:tcW w:w="5650" w:type="dxa"/>
          </w:tcPr>
          <w:p w14:paraId="7F0E4594" w14:textId="552B1292" w:rsidR="00FE6890" w:rsidRDefault="00FE6890" w:rsidP="005F034B">
            <w:r>
              <w:t xml:space="preserve">This selection criterion is used to </w:t>
            </w:r>
            <w:r w:rsidR="005552DD">
              <w:t>assess</w:t>
            </w:r>
            <w:r>
              <w:t xml:space="preserve"> the CSO’s prior experience with </w:t>
            </w:r>
            <w:r w:rsidR="00735CD4">
              <w:t xml:space="preserve">developing training packages in the Global South </w:t>
            </w:r>
            <w:r>
              <w:t>and</w:t>
            </w:r>
            <w:r w:rsidR="005F034B">
              <w:t xml:space="preserve"> </w:t>
            </w:r>
            <w:r w:rsidR="00735CD4">
              <w:t xml:space="preserve">engaging with </w:t>
            </w:r>
            <w:r w:rsidR="00C9370F">
              <w:t>sister</w:t>
            </w:r>
            <w:r w:rsidR="00735CD4">
              <w:t xml:space="preserve"> National Training Institutions on joint projects</w:t>
            </w:r>
          </w:p>
        </w:tc>
        <w:tc>
          <w:tcPr>
            <w:tcW w:w="865" w:type="dxa"/>
          </w:tcPr>
          <w:p w14:paraId="6621D3AA" w14:textId="289452BC" w:rsidR="00FE6890" w:rsidRDefault="00FE6890" w:rsidP="00BB7A85">
            <w:r>
              <w:t>15</w:t>
            </w:r>
          </w:p>
        </w:tc>
      </w:tr>
      <w:tr w:rsidR="00FE6890" w14:paraId="4C283702" w14:textId="3AC1FBA5" w:rsidTr="005F034B">
        <w:tc>
          <w:tcPr>
            <w:tcW w:w="2547" w:type="dxa"/>
          </w:tcPr>
          <w:p w14:paraId="6C972A30" w14:textId="77777777" w:rsidR="00FE6890" w:rsidRDefault="00FE6890" w:rsidP="00E10AB3">
            <w:pPr>
              <w:pStyle w:val="ListParagraph"/>
              <w:numPr>
                <w:ilvl w:val="0"/>
                <w:numId w:val="10"/>
              </w:numPr>
            </w:pPr>
            <w:r>
              <w:t>Cost effectiveness</w:t>
            </w:r>
          </w:p>
          <w:p w14:paraId="754847C9" w14:textId="77777777" w:rsidR="00FE6890" w:rsidRDefault="00FE6890" w:rsidP="00BB7A85"/>
        </w:tc>
        <w:tc>
          <w:tcPr>
            <w:tcW w:w="5650" w:type="dxa"/>
          </w:tcPr>
          <w:p w14:paraId="70F6EE7D" w14:textId="1FC4C0A8" w:rsidR="00FE6890" w:rsidRDefault="00FE6890" w:rsidP="005F034B">
            <w:r>
              <w:t xml:space="preserve">This selection criterion is used to </w:t>
            </w:r>
            <w:r w:rsidR="005552DD">
              <w:t>assess</w:t>
            </w:r>
            <w:r>
              <w:t xml:space="preserve"> the expectation that a given</w:t>
            </w:r>
            <w:r w:rsidR="00735CD4">
              <w:t xml:space="preserve"> </w:t>
            </w:r>
            <w:r>
              <w:t>programme intervention achieve results at a lower cost compared with alternatives</w:t>
            </w:r>
          </w:p>
        </w:tc>
        <w:tc>
          <w:tcPr>
            <w:tcW w:w="865" w:type="dxa"/>
          </w:tcPr>
          <w:p w14:paraId="291DFA9B" w14:textId="2E4594BA" w:rsidR="00FE6890" w:rsidRDefault="00FE6890" w:rsidP="00FE6890">
            <w:r>
              <w:t>10</w:t>
            </w:r>
          </w:p>
          <w:p w14:paraId="3EDFCF72" w14:textId="77777777" w:rsidR="00FE6890" w:rsidRDefault="00FE6890" w:rsidP="00BB7A85"/>
        </w:tc>
      </w:tr>
      <w:tr w:rsidR="00FE6890" w14:paraId="55DCD428" w14:textId="2B260E79" w:rsidTr="005F034B">
        <w:tc>
          <w:tcPr>
            <w:tcW w:w="2547" w:type="dxa"/>
          </w:tcPr>
          <w:p w14:paraId="2280853E" w14:textId="77777777" w:rsidR="00FE6890" w:rsidRDefault="00FE6890" w:rsidP="00E10AB3">
            <w:pPr>
              <w:pStyle w:val="ListParagraph"/>
              <w:numPr>
                <w:ilvl w:val="0"/>
                <w:numId w:val="10"/>
              </w:numPr>
            </w:pPr>
            <w:r>
              <w:t>Innovative approach</w:t>
            </w:r>
          </w:p>
          <w:p w14:paraId="3DD31C79" w14:textId="77777777" w:rsidR="00FE6890" w:rsidRDefault="00FE6890" w:rsidP="00BB7A85"/>
        </w:tc>
        <w:tc>
          <w:tcPr>
            <w:tcW w:w="5650" w:type="dxa"/>
          </w:tcPr>
          <w:p w14:paraId="66F81224" w14:textId="0562A359" w:rsidR="00FE6890" w:rsidRDefault="005F034B" w:rsidP="005F034B">
            <w:r>
              <w:t xml:space="preserve">This selection criteria </w:t>
            </w:r>
            <w:proofErr w:type="gramStart"/>
            <w:r>
              <w:t>is</w:t>
            </w:r>
            <w:proofErr w:type="gramEnd"/>
            <w:r>
              <w:t xml:space="preserve"> used to evaluate track records</w:t>
            </w:r>
            <w:r w:rsidR="00735CD4">
              <w:t xml:space="preserve"> </w:t>
            </w:r>
            <w:r>
              <w:t>of innovative approaches</w:t>
            </w:r>
            <w:r w:rsidR="00C9370F">
              <w:t xml:space="preserve">, </w:t>
            </w:r>
            <w:r>
              <w:t xml:space="preserve">materials </w:t>
            </w:r>
            <w:r w:rsidR="00C9370F">
              <w:t xml:space="preserve">and support </w:t>
            </w:r>
            <w:r>
              <w:t>developed by the CSO</w:t>
            </w:r>
          </w:p>
        </w:tc>
        <w:tc>
          <w:tcPr>
            <w:tcW w:w="865" w:type="dxa"/>
          </w:tcPr>
          <w:p w14:paraId="6E060B6D" w14:textId="0AD7CE14" w:rsidR="00FE6890" w:rsidRDefault="00FE6890" w:rsidP="00BB7A85">
            <w:r>
              <w:t>1</w:t>
            </w:r>
            <w:r w:rsidR="006B5C08">
              <w:t>0</w:t>
            </w:r>
          </w:p>
        </w:tc>
      </w:tr>
      <w:tr w:rsidR="005F034B" w14:paraId="7F0FB400" w14:textId="77777777" w:rsidTr="005F034B">
        <w:tc>
          <w:tcPr>
            <w:tcW w:w="2547" w:type="dxa"/>
          </w:tcPr>
          <w:p w14:paraId="6169BDF6" w14:textId="0DB893AA" w:rsidR="005F034B" w:rsidRDefault="005F034B" w:rsidP="00E10AB3">
            <w:pPr>
              <w:pStyle w:val="ListParagraph"/>
              <w:numPr>
                <w:ilvl w:val="0"/>
                <w:numId w:val="10"/>
              </w:numPr>
            </w:pPr>
            <w:r>
              <w:t>UN</w:t>
            </w:r>
            <w:r w:rsidR="00735CD4">
              <w:t>/international partners</w:t>
            </w:r>
            <w:r>
              <w:t xml:space="preserve"> experience</w:t>
            </w:r>
          </w:p>
        </w:tc>
        <w:tc>
          <w:tcPr>
            <w:tcW w:w="5650" w:type="dxa"/>
          </w:tcPr>
          <w:p w14:paraId="30A95E7C" w14:textId="55840CE3" w:rsidR="005F034B" w:rsidRDefault="005F034B" w:rsidP="005F034B">
            <w:r>
              <w:t xml:space="preserve">This selection criterion is used to </w:t>
            </w:r>
            <w:r w:rsidR="005552DD">
              <w:t>assess</w:t>
            </w:r>
            <w:r>
              <w:t xml:space="preserve"> prior experience working with the UN</w:t>
            </w:r>
            <w:r w:rsidR="00735CD4">
              <w:t xml:space="preserve">/international partners </w:t>
            </w:r>
            <w:r>
              <w:t>and knowledge/understanding of UN</w:t>
            </w:r>
            <w:r w:rsidR="00735CD4">
              <w:t>/international partners</w:t>
            </w:r>
            <w:r>
              <w:t>-specific processes</w:t>
            </w:r>
            <w:r w:rsidR="00A05817">
              <w:t>, incl. reporting requirements</w:t>
            </w:r>
          </w:p>
        </w:tc>
        <w:tc>
          <w:tcPr>
            <w:tcW w:w="865" w:type="dxa"/>
          </w:tcPr>
          <w:p w14:paraId="6C9A85E6" w14:textId="175E2B8D" w:rsidR="005F034B" w:rsidRDefault="00735CD4" w:rsidP="00FE6890">
            <w:r>
              <w:t>10</w:t>
            </w:r>
          </w:p>
        </w:tc>
      </w:tr>
      <w:tr w:rsidR="00FE6890" w14:paraId="35E12E5D" w14:textId="5D03334B" w:rsidTr="005F034B">
        <w:tc>
          <w:tcPr>
            <w:tcW w:w="2547" w:type="dxa"/>
          </w:tcPr>
          <w:p w14:paraId="0B8914E8" w14:textId="12B96F35" w:rsidR="00FE6890" w:rsidRDefault="005F034B" w:rsidP="00E10AB3">
            <w:pPr>
              <w:pStyle w:val="ListParagraph"/>
              <w:numPr>
                <w:ilvl w:val="0"/>
                <w:numId w:val="10"/>
              </w:numPr>
            </w:pPr>
            <w:r>
              <w:t>Relevance of proposal to achieving expected results</w:t>
            </w:r>
          </w:p>
        </w:tc>
        <w:tc>
          <w:tcPr>
            <w:tcW w:w="5650" w:type="dxa"/>
          </w:tcPr>
          <w:p w14:paraId="24F3BE88" w14:textId="4D60E20C" w:rsidR="00FE6890" w:rsidRDefault="005F034B" w:rsidP="005F034B">
            <w:r>
              <w:t xml:space="preserve">This selection criterion is used to </w:t>
            </w:r>
            <w:r w:rsidR="005552DD">
              <w:t>assess</w:t>
            </w:r>
            <w:r>
              <w:t xml:space="preserve"> how directly the concept note</w:t>
            </w:r>
            <w:r w:rsidR="00735CD4">
              <w:t xml:space="preserve"> </w:t>
            </w:r>
            <w:r>
              <w:t>addresses and is likely to achieve the “expected results” indicated in the CFEI</w:t>
            </w:r>
          </w:p>
        </w:tc>
        <w:tc>
          <w:tcPr>
            <w:tcW w:w="865" w:type="dxa"/>
          </w:tcPr>
          <w:p w14:paraId="5ED3B1A4" w14:textId="3CA0BE72" w:rsidR="00FE6890" w:rsidRDefault="006B5C08" w:rsidP="00BB7A85">
            <w:r>
              <w:t>10</w:t>
            </w:r>
          </w:p>
        </w:tc>
      </w:tr>
      <w:tr w:rsidR="005F034B" w14:paraId="07791856" w14:textId="77777777" w:rsidTr="005F034B">
        <w:tc>
          <w:tcPr>
            <w:tcW w:w="2547" w:type="dxa"/>
          </w:tcPr>
          <w:p w14:paraId="72B572C0" w14:textId="77777777" w:rsidR="005F034B" w:rsidRDefault="005F034B" w:rsidP="00E10AB3">
            <w:pPr>
              <w:pStyle w:val="ListParagraph"/>
              <w:numPr>
                <w:ilvl w:val="0"/>
                <w:numId w:val="10"/>
              </w:numPr>
            </w:pPr>
            <w:r>
              <w:t>Clarity of activities and expected results</w:t>
            </w:r>
          </w:p>
          <w:p w14:paraId="2B5E25F3" w14:textId="77777777" w:rsidR="005F034B" w:rsidRDefault="005F034B" w:rsidP="00BB7A85"/>
        </w:tc>
        <w:tc>
          <w:tcPr>
            <w:tcW w:w="5650" w:type="dxa"/>
          </w:tcPr>
          <w:p w14:paraId="55E2AC46" w14:textId="2EAFE78C" w:rsidR="005F034B" w:rsidRDefault="005F034B" w:rsidP="005F034B">
            <w:r>
              <w:t xml:space="preserve">This selection criterion is used to </w:t>
            </w:r>
            <w:r w:rsidR="005552DD">
              <w:t>assess</w:t>
            </w:r>
            <w:r>
              <w:t xml:space="preserve"> UNICEF’s results-based management</w:t>
            </w:r>
            <w:r w:rsidR="00735CD4">
              <w:t xml:space="preserve"> </w:t>
            </w:r>
            <w:r>
              <w:t>approach to programming, and assess a CSO’s RBM capacity</w:t>
            </w:r>
          </w:p>
        </w:tc>
        <w:tc>
          <w:tcPr>
            <w:tcW w:w="865" w:type="dxa"/>
          </w:tcPr>
          <w:p w14:paraId="73F7E0D4" w14:textId="6E9B13E7" w:rsidR="005F034B" w:rsidRDefault="006B5C08" w:rsidP="00BB7A85">
            <w:r>
              <w:t>10</w:t>
            </w:r>
          </w:p>
        </w:tc>
      </w:tr>
      <w:tr w:rsidR="00FE6890" w14:paraId="3B024294" w14:textId="77777777" w:rsidTr="005F034B">
        <w:tc>
          <w:tcPr>
            <w:tcW w:w="2547" w:type="dxa"/>
          </w:tcPr>
          <w:p w14:paraId="71B7D144" w14:textId="01229EE7" w:rsidR="00FE6890" w:rsidRDefault="00FE6890" w:rsidP="00E10AB3">
            <w:pPr>
              <w:pStyle w:val="ListParagraph"/>
              <w:numPr>
                <w:ilvl w:val="0"/>
                <w:numId w:val="10"/>
              </w:numPr>
            </w:pPr>
            <w:r>
              <w:t>Sustainability of intervention</w:t>
            </w:r>
          </w:p>
        </w:tc>
        <w:tc>
          <w:tcPr>
            <w:tcW w:w="5650" w:type="dxa"/>
          </w:tcPr>
          <w:p w14:paraId="33E40BA0" w14:textId="178524B1" w:rsidR="00FE6890" w:rsidRDefault="005F034B" w:rsidP="005F034B">
            <w:r>
              <w:t xml:space="preserve">This selection criterion is used to </w:t>
            </w:r>
            <w:r w:rsidR="005552DD">
              <w:t>assess</w:t>
            </w:r>
            <w:r>
              <w:t xml:space="preserve"> the</w:t>
            </w:r>
            <w:r w:rsidR="00735CD4">
              <w:t xml:space="preserve"> </w:t>
            </w:r>
            <w:r>
              <w:t>sustainability of the approach</w:t>
            </w:r>
            <w:r w:rsidR="00735CD4">
              <w:t xml:space="preserve"> </w:t>
            </w:r>
            <w:r>
              <w:t>proposed by the CSO</w:t>
            </w:r>
            <w:r w:rsidR="00735CD4">
              <w:t xml:space="preserve"> </w:t>
            </w:r>
            <w:r w:rsidR="00A05817">
              <w:t>incl.</w:t>
            </w:r>
            <w:r w:rsidR="00735CD4">
              <w:t xml:space="preserve"> steps taken to incorporate proposed module into existing curriculum</w:t>
            </w:r>
          </w:p>
        </w:tc>
        <w:tc>
          <w:tcPr>
            <w:tcW w:w="865" w:type="dxa"/>
          </w:tcPr>
          <w:p w14:paraId="4E9EBE95" w14:textId="4ACA49F9" w:rsidR="00FE6890" w:rsidRDefault="00735CD4" w:rsidP="00BB7A85">
            <w:r>
              <w:t>1</w:t>
            </w:r>
            <w:r w:rsidR="006B5C08">
              <w:t>0</w:t>
            </w:r>
          </w:p>
        </w:tc>
      </w:tr>
    </w:tbl>
    <w:p w14:paraId="36590251" w14:textId="77777777" w:rsidR="00FE6890" w:rsidRDefault="00FE6890"/>
    <w:p w14:paraId="1D3B18DB" w14:textId="0A1394FB" w:rsidR="00EE6E66" w:rsidRPr="00735CD4" w:rsidRDefault="00EE6E66" w:rsidP="00EE6E66">
      <w:pPr>
        <w:pStyle w:val="ListParagraph"/>
        <w:numPr>
          <w:ilvl w:val="0"/>
          <w:numId w:val="1"/>
        </w:numPr>
        <w:rPr>
          <w:b/>
          <w:bCs/>
        </w:rPr>
      </w:pPr>
      <w:r w:rsidRPr="00735CD4">
        <w:rPr>
          <w:b/>
          <w:bCs/>
        </w:rPr>
        <w:t>Attachments</w:t>
      </w:r>
    </w:p>
    <w:p w14:paraId="2FBC4799" w14:textId="697962E9" w:rsidR="00EE6E66" w:rsidRDefault="005552DD">
      <w:r>
        <w:t>NA</w:t>
      </w:r>
    </w:p>
    <w:p w14:paraId="58A1199A" w14:textId="77777777" w:rsidR="00735CD4" w:rsidRPr="00735CD4" w:rsidRDefault="00EE6E66" w:rsidP="00735CD4">
      <w:pPr>
        <w:pStyle w:val="ListParagraph"/>
        <w:numPr>
          <w:ilvl w:val="0"/>
          <w:numId w:val="1"/>
        </w:numPr>
        <w:rPr>
          <w:b/>
          <w:bCs/>
        </w:rPr>
      </w:pPr>
      <w:r w:rsidRPr="00735CD4">
        <w:rPr>
          <w:b/>
          <w:bCs/>
        </w:rPr>
        <w:t>Concept note template</w:t>
      </w:r>
    </w:p>
    <w:p w14:paraId="7CBD0C08" w14:textId="77777777" w:rsidR="00735CD4" w:rsidRDefault="00735CD4" w:rsidP="00735CD4"/>
    <w:p w14:paraId="74474DB3" w14:textId="07295B52" w:rsidR="00EE6E66" w:rsidRPr="00735CD4" w:rsidRDefault="00EE6E66" w:rsidP="00735CD4">
      <w:pPr>
        <w:pStyle w:val="ListParagraph"/>
        <w:numPr>
          <w:ilvl w:val="0"/>
          <w:numId w:val="1"/>
        </w:numPr>
        <w:rPr>
          <w:b/>
          <w:bCs/>
        </w:rPr>
      </w:pPr>
      <w:r w:rsidRPr="00735CD4">
        <w:rPr>
          <w:b/>
          <w:bCs/>
        </w:rPr>
        <w:t>Other</w:t>
      </w:r>
    </w:p>
    <w:p w14:paraId="39030D7A" w14:textId="3CFFA501" w:rsidR="00EE6E66" w:rsidRDefault="00000000">
      <w:hyperlink r:id="rId8" w:history="1">
        <w:proofErr w:type="spellStart"/>
        <w:r w:rsidR="009845E3">
          <w:rPr>
            <w:rStyle w:val="Hyperlink"/>
          </w:rPr>
          <w:t>SoSSW</w:t>
        </w:r>
        <w:proofErr w:type="spellEnd"/>
        <w:r w:rsidR="009845E3">
          <w:rPr>
            <w:rStyle w:val="Hyperlink"/>
          </w:rPr>
          <w:t xml:space="preserve"> Report 2022.pdf</w:t>
        </w:r>
      </w:hyperlink>
    </w:p>
    <w:sectPr w:rsidR="00EE6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71B"/>
    <w:multiLevelType w:val="hybridMultilevel"/>
    <w:tmpl w:val="21F4EC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D42BED"/>
    <w:multiLevelType w:val="hybridMultilevel"/>
    <w:tmpl w:val="A50C54F2"/>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B273C1"/>
    <w:multiLevelType w:val="hybridMultilevel"/>
    <w:tmpl w:val="593CB8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3C6744"/>
    <w:multiLevelType w:val="hybridMultilevel"/>
    <w:tmpl w:val="D60E8B1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23E43AA"/>
    <w:multiLevelType w:val="hybridMultilevel"/>
    <w:tmpl w:val="09B238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A2941DB"/>
    <w:multiLevelType w:val="hybridMultilevel"/>
    <w:tmpl w:val="4BDCA1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4B282B"/>
    <w:multiLevelType w:val="hybridMultilevel"/>
    <w:tmpl w:val="D10097C2"/>
    <w:lvl w:ilvl="0" w:tplc="04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37556A"/>
    <w:multiLevelType w:val="hybridMultilevel"/>
    <w:tmpl w:val="301C02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08903EB"/>
    <w:multiLevelType w:val="hybridMultilevel"/>
    <w:tmpl w:val="DCAA20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5C25D92"/>
    <w:multiLevelType w:val="hybridMultilevel"/>
    <w:tmpl w:val="06CE6B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1677A1"/>
    <w:multiLevelType w:val="hybridMultilevel"/>
    <w:tmpl w:val="70F016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02981247">
    <w:abstractNumId w:val="9"/>
  </w:num>
  <w:num w:numId="2" w16cid:durableId="698050509">
    <w:abstractNumId w:val="7"/>
  </w:num>
  <w:num w:numId="3" w16cid:durableId="530194244">
    <w:abstractNumId w:val="10"/>
  </w:num>
  <w:num w:numId="4" w16cid:durableId="616762657">
    <w:abstractNumId w:val="3"/>
  </w:num>
  <w:num w:numId="5" w16cid:durableId="2095393689">
    <w:abstractNumId w:val="8"/>
  </w:num>
  <w:num w:numId="6" w16cid:durableId="1617565128">
    <w:abstractNumId w:val="1"/>
  </w:num>
  <w:num w:numId="7" w16cid:durableId="840580186">
    <w:abstractNumId w:val="0"/>
  </w:num>
  <w:num w:numId="8" w16cid:durableId="1215117701">
    <w:abstractNumId w:val="4"/>
  </w:num>
  <w:num w:numId="9" w16cid:durableId="345711502">
    <w:abstractNumId w:val="5"/>
  </w:num>
  <w:num w:numId="10" w16cid:durableId="1130588876">
    <w:abstractNumId w:val="6"/>
  </w:num>
  <w:num w:numId="11" w16cid:durableId="983849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66"/>
    <w:rsid w:val="000955F5"/>
    <w:rsid w:val="000D556D"/>
    <w:rsid w:val="001265BE"/>
    <w:rsid w:val="00132026"/>
    <w:rsid w:val="00155CED"/>
    <w:rsid w:val="00297F7C"/>
    <w:rsid w:val="0036366B"/>
    <w:rsid w:val="0040417A"/>
    <w:rsid w:val="00445B4E"/>
    <w:rsid w:val="004A6B56"/>
    <w:rsid w:val="004C2192"/>
    <w:rsid w:val="004E7EC9"/>
    <w:rsid w:val="005552DD"/>
    <w:rsid w:val="005F034B"/>
    <w:rsid w:val="00600C9E"/>
    <w:rsid w:val="00656CA8"/>
    <w:rsid w:val="006B5C08"/>
    <w:rsid w:val="00717115"/>
    <w:rsid w:val="00735CD4"/>
    <w:rsid w:val="007956DA"/>
    <w:rsid w:val="008806F0"/>
    <w:rsid w:val="00904D87"/>
    <w:rsid w:val="00952A47"/>
    <w:rsid w:val="009845E3"/>
    <w:rsid w:val="00A05817"/>
    <w:rsid w:val="00A66217"/>
    <w:rsid w:val="00AB2A02"/>
    <w:rsid w:val="00BA6F9B"/>
    <w:rsid w:val="00BD5BC9"/>
    <w:rsid w:val="00C9370F"/>
    <w:rsid w:val="00CC1BEA"/>
    <w:rsid w:val="00CD36D5"/>
    <w:rsid w:val="00E10AB3"/>
    <w:rsid w:val="00EA5017"/>
    <w:rsid w:val="00EE6E66"/>
    <w:rsid w:val="00F95EC0"/>
    <w:rsid w:val="00FE6890"/>
    <w:rsid w:val="2594631E"/>
    <w:rsid w:val="4A754EB0"/>
    <w:rsid w:val="7195BF9F"/>
    <w:rsid w:val="7DA89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F353"/>
  <w15:chartTrackingRefBased/>
  <w15:docId w15:val="{9CF6F505-CD28-430F-AB8E-2EB19002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66"/>
    <w:pPr>
      <w:ind w:left="720"/>
      <w:contextualSpacing/>
    </w:pPr>
  </w:style>
  <w:style w:type="table" w:styleId="TableGrid">
    <w:name w:val="Table Grid"/>
    <w:basedOn w:val="TableNormal"/>
    <w:uiPriority w:val="39"/>
    <w:rsid w:val="0013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2026"/>
    <w:pPr>
      <w:spacing w:after="0" w:line="240" w:lineRule="auto"/>
    </w:pPr>
    <w:rPr>
      <w:lang w:val="en-GB"/>
    </w:rPr>
  </w:style>
  <w:style w:type="character" w:styleId="Hyperlink">
    <w:name w:val="Hyperlink"/>
    <w:basedOn w:val="DefaultParagraphFont"/>
    <w:uiPriority w:val="99"/>
    <w:semiHidden/>
    <w:unhideWhenUsed/>
    <w:rsid w:val="00984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chap\Documents\0.%20UNICEF\social%20work\SoSSW%20Report%202022.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C17996351EB41BF04EE07A1B9AFCF" ma:contentTypeVersion="13" ma:contentTypeDescription="Create a new document." ma:contentTypeScope="" ma:versionID="bb8ee629e01632fc403d306ec62caffb">
  <xsd:schema xmlns:xsd="http://www.w3.org/2001/XMLSchema" xmlns:xs="http://www.w3.org/2001/XMLSchema" xmlns:p="http://schemas.microsoft.com/office/2006/metadata/properties" xmlns:ns3="a06371d7-06ba-4554-b33b-f4ac6e1105d6" xmlns:ns4="76fa18c1-331a-4cee-be6e-b8655a811941" targetNamespace="http://schemas.microsoft.com/office/2006/metadata/properties" ma:root="true" ma:fieldsID="53f0df7db2f4465affca6788ce840d7d" ns3:_="" ns4:_="">
    <xsd:import namespace="a06371d7-06ba-4554-b33b-f4ac6e1105d6"/>
    <xsd:import namespace="76fa18c1-331a-4cee-be6e-b8655a8119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a18c1-331a-4cee-be6e-b8655a8119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80428-8160-40E0-8811-2E1DF8788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76fa18c1-331a-4cee-be6e-b8655a811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190F1-B6AA-45B2-9AEE-1FDCC7706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41BE-C6D0-4C31-8356-928576F2D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1484</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Links>
    <vt:vector size="6" baseType="variant">
      <vt:variant>
        <vt:i4>4653147</vt:i4>
      </vt:variant>
      <vt:variant>
        <vt:i4>0</vt:i4>
      </vt:variant>
      <vt:variant>
        <vt:i4>0</vt:i4>
      </vt:variant>
      <vt:variant>
        <vt:i4>5</vt:i4>
      </vt:variant>
      <vt:variant>
        <vt:lpwstr>C:\Users\lchap\Documents\0. UNICEF\social work\SoSSW Report 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Chapuis</dc:creator>
  <cp:keywords/>
  <dc:description/>
  <cp:lastModifiedBy>Laurent Chapuis</cp:lastModifiedBy>
  <cp:revision>4</cp:revision>
  <dcterms:created xsi:type="dcterms:W3CDTF">2022-11-04T14:04:00Z</dcterms:created>
  <dcterms:modified xsi:type="dcterms:W3CDTF">2022-11-04T18:17:00Z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0x010100223C17996351EB41BF04EE07A1B9AFCF</vt:lpwstr>
  </property>
</Properties>
</file>