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05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00" w:firstRow="0" w:lastRow="0" w:firstColumn="0" w:lastColumn="0" w:noHBand="0" w:noVBand="1"/>
      </w:tblPr>
      <w:tblGrid>
        <w:gridCol w:w="4590"/>
        <w:gridCol w:w="900"/>
        <w:gridCol w:w="3870"/>
      </w:tblGrid>
      <w:tr w:rsidR="00B8097E" w:rsidRPr="00B8097E" w:rsidTr="00F25A2B">
        <w:tc>
          <w:tcPr>
            <w:tcW w:w="4590" w:type="dxa"/>
            <w:shd w:val="clear" w:color="auto" w:fill="auto"/>
          </w:tcPr>
          <w:p w:rsidR="00B8097E" w:rsidRPr="00B8097E" w:rsidRDefault="00B8097E" w:rsidP="00F25A2B">
            <w:pPr>
              <w:widowControl w:val="0"/>
              <w:spacing w:after="0" w:line="240" w:lineRule="auto"/>
              <w:rPr>
                <w:b/>
                <w:lang w:val="en-GB"/>
              </w:rPr>
            </w:pPr>
            <w:bookmarkStart w:id="0" w:name="_GoBack"/>
            <w:bookmarkEnd w:id="0"/>
            <w:r w:rsidRPr="00B8097E">
              <w:rPr>
                <w:b/>
                <w:lang w:val="fr-CA" w:bidi="fr-CA"/>
              </w:rPr>
              <w:t>Indicateurs</w:t>
            </w:r>
          </w:p>
        </w:tc>
        <w:tc>
          <w:tcPr>
            <w:tcW w:w="900" w:type="dxa"/>
          </w:tcPr>
          <w:p w:rsidR="00B8097E" w:rsidRPr="00B8097E" w:rsidRDefault="00B8097E" w:rsidP="00F25A2B">
            <w:pPr>
              <w:widowControl w:val="0"/>
              <w:spacing w:after="0" w:line="240" w:lineRule="auto"/>
              <w:rPr>
                <w:b/>
                <w:lang w:val="en-GB"/>
              </w:rPr>
            </w:pPr>
            <w:r w:rsidRPr="00B8097E">
              <w:rPr>
                <w:b/>
                <w:lang w:val="fr-CA" w:bidi="fr-CA"/>
              </w:rPr>
              <w:t>Cible</w:t>
            </w:r>
          </w:p>
        </w:tc>
        <w:tc>
          <w:tcPr>
            <w:tcW w:w="3870" w:type="dxa"/>
          </w:tcPr>
          <w:p w:rsidR="00B8097E" w:rsidRPr="00B8097E" w:rsidRDefault="00B8097E" w:rsidP="00F25A2B">
            <w:pPr>
              <w:widowControl w:val="0"/>
              <w:spacing w:after="0" w:line="240" w:lineRule="auto"/>
              <w:rPr>
                <w:b/>
                <w:lang w:val="en-GB"/>
              </w:rPr>
            </w:pPr>
            <w:r w:rsidRPr="00B8097E">
              <w:rPr>
                <w:b/>
                <w:lang w:val="fr-CA" w:bidi="fr-CA"/>
              </w:rPr>
              <w:t>Remarques</w:t>
            </w:r>
          </w:p>
        </w:tc>
      </w:tr>
      <w:tr w:rsidR="00B8097E" w:rsidRPr="00B8097E" w:rsidTr="00F25A2B">
        <w:trPr>
          <w:trHeight w:val="600"/>
        </w:trPr>
        <w:tc>
          <w:tcPr>
            <w:tcW w:w="4590" w:type="dxa"/>
            <w:shd w:val="clear" w:color="auto" w:fill="auto"/>
          </w:tcPr>
          <w:p w:rsidR="00B8097E" w:rsidRPr="00F25A2B" w:rsidRDefault="00B8097E" w:rsidP="00F25A2B">
            <w:pPr>
              <w:spacing w:after="0" w:line="240" w:lineRule="auto"/>
              <w:rPr>
                <w:lang w:val="fr-CA"/>
              </w:rPr>
            </w:pPr>
            <w:r w:rsidRPr="00B8097E">
              <w:rPr>
                <w:lang w:val="fr-CA" w:bidi="fr-CA"/>
              </w:rPr>
              <w:t>Pourcentage de travailleurs en gestion de cas supervisés et formés en GCPE qui démontrent une amélioration de leurs connaissances et de leurs compétences dans l’application du processus de gestion de cas</w:t>
            </w:r>
          </w:p>
        </w:tc>
        <w:tc>
          <w:tcPr>
            <w:tcW w:w="900" w:type="dxa"/>
          </w:tcPr>
          <w:p w:rsidR="00B8097E" w:rsidRPr="00B8097E" w:rsidRDefault="00B8097E" w:rsidP="00F25A2B">
            <w:pPr>
              <w:spacing w:after="0" w:line="240" w:lineRule="auto"/>
              <w:rPr>
                <w:lang w:val="en-GB"/>
              </w:rPr>
            </w:pPr>
            <w:r w:rsidRPr="00B8097E">
              <w:rPr>
                <w:color w:val="000000"/>
                <w:lang w:val="fr-CA" w:bidi="fr-CA"/>
              </w:rPr>
              <w:t>80 %</w:t>
            </w:r>
          </w:p>
        </w:tc>
        <w:tc>
          <w:tcPr>
            <w:tcW w:w="3870" w:type="dxa"/>
          </w:tcPr>
          <w:p w:rsidR="00B8097E" w:rsidRPr="00F25A2B" w:rsidRDefault="00B8097E" w:rsidP="00F25A2B">
            <w:pPr>
              <w:pStyle w:val="Corpsdetexte"/>
              <w:framePr w:hSpace="0" w:wrap="auto" w:vAnchor="margin" w:hAnchor="text" w:yAlign="inline"/>
            </w:pPr>
            <w:r w:rsidRPr="00B8097E">
              <w:t>Outil d’évaluation des capacités des gestionnaires de cas de la trousse d’encadrement et de super</w:t>
            </w:r>
            <w:r w:rsidR="00F25A2B">
              <w:t>vision des gestionnaires de cas</w:t>
            </w:r>
          </w:p>
          <w:p w:rsidR="00B8097E" w:rsidRPr="00F25A2B" w:rsidRDefault="00B8097E" w:rsidP="00F25A2B">
            <w:pPr>
              <w:keepNext/>
              <w:keepLines/>
              <w:pBdr>
                <w:top w:val="nil"/>
                <w:left w:val="nil"/>
                <w:bottom w:val="nil"/>
                <w:right w:val="nil"/>
                <w:between w:val="nil"/>
              </w:pBdr>
              <w:spacing w:after="0" w:line="240" w:lineRule="auto"/>
              <w:outlineLvl w:val="5"/>
              <w:rPr>
                <w:i/>
                <w:iCs/>
                <w:lang w:val="fr-CA"/>
              </w:rPr>
            </w:pPr>
            <w:r w:rsidRPr="00B8097E">
              <w:rPr>
                <w:i/>
                <w:lang w:val="fr-CA" w:bidi="fr-CA"/>
              </w:rPr>
              <w:t>Seuls les travailleurs en gestion de cas formés et supervisés doivent être inclus dans cette mesure</w:t>
            </w:r>
          </w:p>
        </w:tc>
      </w:tr>
      <w:tr w:rsidR="00B8097E" w:rsidRPr="00B8097E" w:rsidTr="00F25A2B">
        <w:trPr>
          <w:trHeight w:val="701"/>
        </w:trPr>
        <w:tc>
          <w:tcPr>
            <w:tcW w:w="4590" w:type="dxa"/>
            <w:shd w:val="clear" w:color="auto" w:fill="auto"/>
          </w:tcPr>
          <w:p w:rsidR="00B8097E" w:rsidRPr="00F25A2B" w:rsidRDefault="00B8097E" w:rsidP="00F25A2B">
            <w:pPr>
              <w:spacing w:after="0" w:line="240" w:lineRule="auto"/>
              <w:rPr>
                <w:lang w:val="fr-CA"/>
              </w:rPr>
            </w:pPr>
            <w:r w:rsidRPr="00B8097E">
              <w:rPr>
                <w:lang w:val="fr-CA" w:bidi="fr-CA"/>
              </w:rPr>
              <w:t xml:space="preserve">Pourcentage d’enfants et de tuteurs qui se disent satisfaits des services directs reçus et des mesures prises dans le cadre du processus de gestion de cas </w:t>
            </w:r>
          </w:p>
        </w:tc>
        <w:tc>
          <w:tcPr>
            <w:tcW w:w="900" w:type="dxa"/>
          </w:tcPr>
          <w:p w:rsidR="00B8097E" w:rsidRPr="00F25A2B" w:rsidRDefault="00B8097E" w:rsidP="00F25A2B">
            <w:pPr>
              <w:spacing w:after="0" w:line="240" w:lineRule="auto"/>
              <w:rPr>
                <w:color w:val="000000"/>
                <w:lang w:val="en-GB"/>
              </w:rPr>
            </w:pPr>
            <w:r w:rsidRPr="00B8097E">
              <w:rPr>
                <w:color w:val="000000"/>
                <w:lang w:val="fr-CA" w:bidi="fr-CA"/>
              </w:rPr>
              <w:t>90 %</w:t>
            </w:r>
          </w:p>
        </w:tc>
        <w:tc>
          <w:tcPr>
            <w:tcW w:w="3870" w:type="dxa"/>
          </w:tcPr>
          <w:p w:rsidR="00B8097E" w:rsidRPr="00F25A2B" w:rsidRDefault="00B8097E" w:rsidP="00F25A2B">
            <w:pPr>
              <w:keepNext/>
              <w:keepLines/>
              <w:spacing w:after="0" w:line="240" w:lineRule="auto"/>
              <w:outlineLvl w:val="5"/>
              <w:rPr>
                <w:i/>
                <w:iCs/>
                <w:lang w:val="fr-CA"/>
              </w:rPr>
            </w:pPr>
            <w:r w:rsidRPr="00B8097E">
              <w:rPr>
                <w:i/>
                <w:lang w:val="fr-CA" w:bidi="fr-CA"/>
              </w:rPr>
              <w:t>Mesurer le pourcentage d’enfants et de tuteurs séparément</w:t>
            </w:r>
          </w:p>
        </w:tc>
      </w:tr>
      <w:tr w:rsidR="00B8097E" w:rsidRPr="00B8097E" w:rsidTr="00F25A2B">
        <w:trPr>
          <w:trHeight w:val="600"/>
        </w:trPr>
        <w:tc>
          <w:tcPr>
            <w:tcW w:w="4590" w:type="dxa"/>
            <w:shd w:val="clear" w:color="auto" w:fill="auto"/>
          </w:tcPr>
          <w:p w:rsidR="00B8097E" w:rsidRPr="00F25A2B" w:rsidRDefault="00B8097E" w:rsidP="00F25A2B">
            <w:pPr>
              <w:spacing w:after="0" w:line="240" w:lineRule="auto"/>
              <w:rPr>
                <w:rFonts w:asciiTheme="minorHAnsi" w:hAnsiTheme="minorHAnsi" w:cstheme="minorHAnsi"/>
                <w:color w:val="000000"/>
                <w:lang w:val="fr-CA"/>
              </w:rPr>
            </w:pPr>
            <w:r w:rsidRPr="004D0A00">
              <w:rPr>
                <w:rFonts w:asciiTheme="minorHAnsi" w:hAnsiTheme="minorHAnsi" w:cstheme="minorHAnsi"/>
                <w:lang w:val="fr-CA" w:bidi="fr-CA"/>
              </w:rPr>
              <w:t>Pourcentage d’enfants et de tuteurs qui rapportent une augmentation de leur bien-être à la suite de la gestion des besoins et des risques urgents dans le cadre du processus de gestion de cas</w:t>
            </w:r>
          </w:p>
        </w:tc>
        <w:tc>
          <w:tcPr>
            <w:tcW w:w="900" w:type="dxa"/>
          </w:tcPr>
          <w:p w:rsidR="00B8097E" w:rsidRPr="00B8097E" w:rsidRDefault="00B8097E" w:rsidP="00F25A2B">
            <w:pPr>
              <w:spacing w:after="0" w:line="240" w:lineRule="auto"/>
              <w:rPr>
                <w:color w:val="000000"/>
                <w:lang w:val="en-GB"/>
              </w:rPr>
            </w:pPr>
            <w:r w:rsidRPr="00B8097E">
              <w:rPr>
                <w:color w:val="000000"/>
                <w:lang w:val="fr-CA" w:bidi="fr-CA"/>
              </w:rPr>
              <w:t>90 %</w:t>
            </w:r>
          </w:p>
        </w:tc>
        <w:tc>
          <w:tcPr>
            <w:tcW w:w="3870" w:type="dxa"/>
          </w:tcPr>
          <w:p w:rsidR="00B8097E" w:rsidRPr="00F25A2B" w:rsidRDefault="00B8097E" w:rsidP="00F25A2B">
            <w:pPr>
              <w:keepNext/>
              <w:keepLines/>
              <w:spacing w:after="0" w:line="240" w:lineRule="auto"/>
              <w:outlineLvl w:val="5"/>
              <w:rPr>
                <w:i/>
                <w:iCs/>
                <w:lang w:val="fr-CA"/>
              </w:rPr>
            </w:pPr>
            <w:r w:rsidRPr="00B8097E">
              <w:rPr>
                <w:i/>
                <w:lang w:val="fr-CA" w:bidi="fr-CA"/>
              </w:rPr>
              <w:t>Mesurer le pourcentage d’enfants et de tuteurs séparément</w:t>
            </w:r>
          </w:p>
        </w:tc>
      </w:tr>
      <w:tr w:rsidR="00B8097E" w:rsidRPr="00B8097E" w:rsidTr="00F25A2B">
        <w:trPr>
          <w:trHeight w:val="300"/>
        </w:trPr>
        <w:tc>
          <w:tcPr>
            <w:tcW w:w="4590" w:type="dxa"/>
            <w:shd w:val="clear" w:color="auto" w:fill="auto"/>
          </w:tcPr>
          <w:p w:rsidR="00B8097E" w:rsidRPr="00F25A2B" w:rsidRDefault="00B8097E" w:rsidP="00F25A2B">
            <w:pPr>
              <w:spacing w:after="0"/>
              <w:rPr>
                <w:color w:val="000000"/>
                <w:lang w:val="fr-CA"/>
              </w:rPr>
            </w:pPr>
            <w:r w:rsidRPr="00B8097E">
              <w:rPr>
                <w:lang w:val="fr-CA" w:bidi="fr-CA"/>
              </w:rPr>
              <w:t>Nombre et pourcentage de référencements appropriés d’enfants vers des services de GCPE effectués par des membres de la communauté dans les lieux d’intervention ciblés</w:t>
            </w:r>
          </w:p>
        </w:tc>
        <w:tc>
          <w:tcPr>
            <w:tcW w:w="900" w:type="dxa"/>
          </w:tcPr>
          <w:p w:rsidR="00B8097E" w:rsidRPr="00B8097E" w:rsidRDefault="00B8097E" w:rsidP="00F25A2B">
            <w:pPr>
              <w:spacing w:after="0" w:line="240" w:lineRule="auto"/>
              <w:rPr>
                <w:color w:val="000000"/>
                <w:lang w:val="en-GB"/>
              </w:rPr>
            </w:pPr>
            <w:r w:rsidRPr="00B8097E">
              <w:rPr>
                <w:color w:val="000000"/>
                <w:lang w:val="fr-CA" w:bidi="fr-CA"/>
              </w:rPr>
              <w:t>80 %</w:t>
            </w:r>
          </w:p>
        </w:tc>
        <w:tc>
          <w:tcPr>
            <w:tcW w:w="3870" w:type="dxa"/>
          </w:tcPr>
          <w:p w:rsidR="00B8097E" w:rsidRPr="00F25A2B" w:rsidRDefault="00B8097E" w:rsidP="00F25A2B">
            <w:pPr>
              <w:spacing w:after="0" w:line="240" w:lineRule="auto"/>
              <w:rPr>
                <w:color w:val="000000"/>
                <w:lang w:val="fr-CA"/>
              </w:rPr>
            </w:pPr>
            <w:r w:rsidRPr="00B8097E">
              <w:rPr>
                <w:color w:val="000000"/>
                <w:lang w:val="fr-CA" w:bidi="fr-CA"/>
              </w:rPr>
              <w:t xml:space="preserve">Le qualificatif « approprié » signifie que les besoins de l’enfant ou de son tuteur correspondent aux services où ils ont été référés </w:t>
            </w:r>
          </w:p>
        </w:tc>
      </w:tr>
      <w:tr w:rsidR="00B8097E" w:rsidRPr="00321D98" w:rsidTr="00F25A2B">
        <w:trPr>
          <w:trHeight w:val="300"/>
        </w:trPr>
        <w:tc>
          <w:tcPr>
            <w:tcW w:w="4590" w:type="dxa"/>
            <w:shd w:val="clear" w:color="auto" w:fill="auto"/>
          </w:tcPr>
          <w:p w:rsidR="00B8097E" w:rsidRPr="00F25A2B" w:rsidRDefault="00B8097E" w:rsidP="00F25A2B">
            <w:pPr>
              <w:spacing w:after="0" w:line="240" w:lineRule="auto"/>
              <w:rPr>
                <w:lang w:val="fr-CA"/>
              </w:rPr>
            </w:pPr>
            <w:r w:rsidRPr="00B8097E">
              <w:rPr>
                <w:lang w:val="fr-CA" w:bidi="fr-CA"/>
              </w:rPr>
              <w:t>Nombre et pourcentage de référencements appropriés d’enfants vers d’autres secteurs effectués par des employés en GCPE</w:t>
            </w:r>
          </w:p>
        </w:tc>
        <w:tc>
          <w:tcPr>
            <w:tcW w:w="900" w:type="dxa"/>
          </w:tcPr>
          <w:p w:rsidR="00B8097E" w:rsidRPr="00B8097E" w:rsidRDefault="00B8097E" w:rsidP="00F25A2B">
            <w:pPr>
              <w:spacing w:after="0" w:line="240" w:lineRule="auto"/>
              <w:rPr>
                <w:lang w:val="en-GB"/>
              </w:rPr>
            </w:pPr>
            <w:r w:rsidRPr="00B8097E">
              <w:rPr>
                <w:color w:val="000000"/>
                <w:lang w:val="fr-CA" w:bidi="fr-CA"/>
              </w:rPr>
              <w:t>80 %</w:t>
            </w:r>
          </w:p>
        </w:tc>
        <w:tc>
          <w:tcPr>
            <w:tcW w:w="3870" w:type="dxa"/>
          </w:tcPr>
          <w:p w:rsidR="00B8097E" w:rsidRPr="00F25A2B" w:rsidRDefault="00B8097E" w:rsidP="00F25A2B">
            <w:pPr>
              <w:pBdr>
                <w:top w:val="nil"/>
                <w:left w:val="nil"/>
                <w:bottom w:val="nil"/>
                <w:right w:val="nil"/>
                <w:between w:val="nil"/>
              </w:pBdr>
              <w:spacing w:after="0" w:line="240" w:lineRule="auto"/>
              <w:rPr>
                <w:lang w:val="fr-CA"/>
              </w:rPr>
            </w:pPr>
            <w:r w:rsidRPr="00B8097E">
              <w:rPr>
                <w:color w:val="000000"/>
                <w:lang w:val="fr-CA" w:bidi="fr-CA"/>
              </w:rPr>
              <w:t>Le qualificatif « approprié » signifie que les besoins de l’enfant ou de son tuteur correspondent aux services où ils ont été référés</w:t>
            </w:r>
          </w:p>
        </w:tc>
      </w:tr>
    </w:tbl>
    <w:p w:rsidR="00777DF3" w:rsidRPr="00B8097E" w:rsidRDefault="00B8097E">
      <w:pPr>
        <w:rPr>
          <w:b/>
        </w:rPr>
      </w:pPr>
      <w:r w:rsidRPr="00B8097E">
        <w:rPr>
          <w:b/>
          <w:lang w:val="fr-CA" w:bidi="fr-CA"/>
        </w:rPr>
        <w:t>Indicateurs minimaux de la gestion de cas</w:t>
      </w:r>
    </w:p>
    <w:sectPr w:rsidR="00777DF3" w:rsidRPr="00B80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94A54"/>
    <w:multiLevelType w:val="hybridMultilevel"/>
    <w:tmpl w:val="70888008"/>
    <w:lvl w:ilvl="0" w:tplc="ACDC2A14">
      <w:start w:val="1"/>
      <w:numFmt w:val="decimal"/>
      <w:lvlText w:val="18.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7E"/>
    <w:rsid w:val="00136F80"/>
    <w:rsid w:val="00481F4C"/>
    <w:rsid w:val="004B6A50"/>
    <w:rsid w:val="004D0A00"/>
    <w:rsid w:val="00504C60"/>
    <w:rsid w:val="00777DF3"/>
    <w:rsid w:val="00B8097E"/>
    <w:rsid w:val="00C840CC"/>
    <w:rsid w:val="00F2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97E"/>
    <w:pPr>
      <w:spacing w:after="200" w:line="276" w:lineRule="auto"/>
    </w:pPr>
    <w:rPr>
      <w:rFonts w:ascii="Calibri" w:eastAsia="Calibri" w:hAnsi="Calibri" w:cs="Calibri"/>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unhideWhenUsed/>
    <w:rsid w:val="00B8097E"/>
    <w:rPr>
      <w:sz w:val="16"/>
      <w:szCs w:val="16"/>
    </w:rPr>
  </w:style>
  <w:style w:type="paragraph" w:styleId="Commentaire">
    <w:name w:val="annotation text"/>
    <w:basedOn w:val="Normal"/>
    <w:link w:val="CommentaireCar"/>
    <w:uiPriority w:val="99"/>
    <w:unhideWhenUsed/>
    <w:rsid w:val="00B8097E"/>
    <w:rPr>
      <w:sz w:val="20"/>
      <w:szCs w:val="20"/>
    </w:rPr>
  </w:style>
  <w:style w:type="character" w:customStyle="1" w:styleId="CommentaireCar">
    <w:name w:val="Commentaire Car"/>
    <w:basedOn w:val="Policepardfaut"/>
    <w:link w:val="Commentaire"/>
    <w:uiPriority w:val="99"/>
    <w:rsid w:val="00B8097E"/>
    <w:rPr>
      <w:rFonts w:ascii="Calibri" w:eastAsia="Calibri" w:hAnsi="Calibri" w:cs="Calibri"/>
      <w:sz w:val="20"/>
      <w:szCs w:val="20"/>
      <w:lang w:eastAsia="zh-CN"/>
    </w:rPr>
  </w:style>
  <w:style w:type="paragraph" w:styleId="Paragraphedeliste">
    <w:name w:val="List Paragraph"/>
    <w:aliases w:val="Bullet List,FooterText,List Paragraph1,Colorful List - Accent 111,numbered,Paragraphe de liste1,列出段落,列出段落1,Bulletr List Paragraph,List Paragraph2,List Paragraph21,Párrafo de lista1,Parágrafo da Lista1,リスト段落1,Plan"/>
    <w:basedOn w:val="Normal"/>
    <w:link w:val="ParagraphedelisteCar"/>
    <w:uiPriority w:val="34"/>
    <w:qFormat/>
    <w:rsid w:val="00B8097E"/>
    <w:pPr>
      <w:ind w:left="708"/>
    </w:pPr>
  </w:style>
  <w:style w:type="character" w:customStyle="1" w:styleId="ParagraphedelisteCar">
    <w:name w:val="Paragraphe de liste Car"/>
    <w:aliases w:val="Bullet List Car,FooterText Car,List Paragraph1 Car,Colorful List - Accent 111 Car,numbered Car,Paragraphe de liste1 Car,列出段落 Car,列出段落1 Car,Bulletr List Paragraph Car,List Paragraph2 Car,List Paragraph21 Car,Párrafo de lista1 Car"/>
    <w:link w:val="Paragraphedeliste"/>
    <w:uiPriority w:val="34"/>
    <w:locked/>
    <w:rsid w:val="00B8097E"/>
    <w:rPr>
      <w:rFonts w:ascii="Calibri" w:eastAsia="Calibri" w:hAnsi="Calibri" w:cs="Calibri"/>
      <w:lang w:eastAsia="zh-CN"/>
    </w:rPr>
  </w:style>
  <w:style w:type="paragraph" w:styleId="Textedebulles">
    <w:name w:val="Balloon Text"/>
    <w:basedOn w:val="Normal"/>
    <w:link w:val="TextedebullesCar"/>
    <w:uiPriority w:val="99"/>
    <w:semiHidden/>
    <w:unhideWhenUsed/>
    <w:rsid w:val="00B809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097E"/>
    <w:rPr>
      <w:rFonts w:ascii="Segoe UI" w:eastAsia="Calibri" w:hAnsi="Segoe UI" w:cs="Segoe UI"/>
      <w:sz w:val="18"/>
      <w:szCs w:val="18"/>
      <w:lang w:eastAsia="zh-CN"/>
    </w:rPr>
  </w:style>
  <w:style w:type="paragraph" w:styleId="Corpsdetexte">
    <w:name w:val="Body Text"/>
    <w:basedOn w:val="Normal"/>
    <w:link w:val="CorpsdetexteCar"/>
    <w:uiPriority w:val="99"/>
    <w:unhideWhenUsed/>
    <w:rsid w:val="00F25A2B"/>
    <w:pPr>
      <w:framePr w:hSpace="180" w:wrap="around" w:vAnchor="page" w:hAnchor="margin" w:y="2056"/>
      <w:pBdr>
        <w:top w:val="nil"/>
        <w:left w:val="nil"/>
        <w:bottom w:val="nil"/>
        <w:right w:val="nil"/>
        <w:between w:val="nil"/>
      </w:pBdr>
      <w:spacing w:after="120" w:line="240" w:lineRule="auto"/>
    </w:pPr>
    <w:rPr>
      <w:lang w:val="fr-CA" w:bidi="fr-CA"/>
    </w:rPr>
  </w:style>
  <w:style w:type="character" w:customStyle="1" w:styleId="CorpsdetexteCar">
    <w:name w:val="Corps de texte Car"/>
    <w:basedOn w:val="Policepardfaut"/>
    <w:link w:val="Corpsdetexte"/>
    <w:uiPriority w:val="99"/>
    <w:rsid w:val="00F25A2B"/>
    <w:rPr>
      <w:rFonts w:ascii="Calibri" w:eastAsia="Calibri" w:hAnsi="Calibri" w:cs="Calibri"/>
      <w:lang w:val="fr-CA" w:eastAsia="zh-CN" w:bidi="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97E"/>
    <w:pPr>
      <w:spacing w:after="200" w:line="276" w:lineRule="auto"/>
    </w:pPr>
    <w:rPr>
      <w:rFonts w:ascii="Calibri" w:eastAsia="Calibri" w:hAnsi="Calibri" w:cs="Calibri"/>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unhideWhenUsed/>
    <w:rsid w:val="00B8097E"/>
    <w:rPr>
      <w:sz w:val="16"/>
      <w:szCs w:val="16"/>
    </w:rPr>
  </w:style>
  <w:style w:type="paragraph" w:styleId="Commentaire">
    <w:name w:val="annotation text"/>
    <w:basedOn w:val="Normal"/>
    <w:link w:val="CommentaireCar"/>
    <w:uiPriority w:val="99"/>
    <w:unhideWhenUsed/>
    <w:rsid w:val="00B8097E"/>
    <w:rPr>
      <w:sz w:val="20"/>
      <w:szCs w:val="20"/>
    </w:rPr>
  </w:style>
  <w:style w:type="character" w:customStyle="1" w:styleId="CommentaireCar">
    <w:name w:val="Commentaire Car"/>
    <w:basedOn w:val="Policepardfaut"/>
    <w:link w:val="Commentaire"/>
    <w:uiPriority w:val="99"/>
    <w:rsid w:val="00B8097E"/>
    <w:rPr>
      <w:rFonts w:ascii="Calibri" w:eastAsia="Calibri" w:hAnsi="Calibri" w:cs="Calibri"/>
      <w:sz w:val="20"/>
      <w:szCs w:val="20"/>
      <w:lang w:eastAsia="zh-CN"/>
    </w:rPr>
  </w:style>
  <w:style w:type="paragraph" w:styleId="Paragraphedeliste">
    <w:name w:val="List Paragraph"/>
    <w:aliases w:val="Bullet List,FooterText,List Paragraph1,Colorful List - Accent 111,numbered,Paragraphe de liste1,列出段落,列出段落1,Bulletr List Paragraph,List Paragraph2,List Paragraph21,Párrafo de lista1,Parágrafo da Lista1,リスト段落1,Plan"/>
    <w:basedOn w:val="Normal"/>
    <w:link w:val="ParagraphedelisteCar"/>
    <w:uiPriority w:val="34"/>
    <w:qFormat/>
    <w:rsid w:val="00B8097E"/>
    <w:pPr>
      <w:ind w:left="708"/>
    </w:pPr>
  </w:style>
  <w:style w:type="character" w:customStyle="1" w:styleId="ParagraphedelisteCar">
    <w:name w:val="Paragraphe de liste Car"/>
    <w:aliases w:val="Bullet List Car,FooterText Car,List Paragraph1 Car,Colorful List - Accent 111 Car,numbered Car,Paragraphe de liste1 Car,列出段落 Car,列出段落1 Car,Bulletr List Paragraph Car,List Paragraph2 Car,List Paragraph21 Car,Párrafo de lista1 Car"/>
    <w:link w:val="Paragraphedeliste"/>
    <w:uiPriority w:val="34"/>
    <w:locked/>
    <w:rsid w:val="00B8097E"/>
    <w:rPr>
      <w:rFonts w:ascii="Calibri" w:eastAsia="Calibri" w:hAnsi="Calibri" w:cs="Calibri"/>
      <w:lang w:eastAsia="zh-CN"/>
    </w:rPr>
  </w:style>
  <w:style w:type="paragraph" w:styleId="Textedebulles">
    <w:name w:val="Balloon Text"/>
    <w:basedOn w:val="Normal"/>
    <w:link w:val="TextedebullesCar"/>
    <w:uiPriority w:val="99"/>
    <w:semiHidden/>
    <w:unhideWhenUsed/>
    <w:rsid w:val="00B809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097E"/>
    <w:rPr>
      <w:rFonts w:ascii="Segoe UI" w:eastAsia="Calibri" w:hAnsi="Segoe UI" w:cs="Segoe UI"/>
      <w:sz w:val="18"/>
      <w:szCs w:val="18"/>
      <w:lang w:eastAsia="zh-CN"/>
    </w:rPr>
  </w:style>
  <w:style w:type="paragraph" w:styleId="Corpsdetexte">
    <w:name w:val="Body Text"/>
    <w:basedOn w:val="Normal"/>
    <w:link w:val="CorpsdetexteCar"/>
    <w:uiPriority w:val="99"/>
    <w:unhideWhenUsed/>
    <w:rsid w:val="00F25A2B"/>
    <w:pPr>
      <w:framePr w:hSpace="180" w:wrap="around" w:vAnchor="page" w:hAnchor="margin" w:y="2056"/>
      <w:pBdr>
        <w:top w:val="nil"/>
        <w:left w:val="nil"/>
        <w:bottom w:val="nil"/>
        <w:right w:val="nil"/>
        <w:between w:val="nil"/>
      </w:pBdr>
      <w:spacing w:after="120" w:line="240" w:lineRule="auto"/>
    </w:pPr>
    <w:rPr>
      <w:lang w:val="fr-CA" w:bidi="fr-CA"/>
    </w:rPr>
  </w:style>
  <w:style w:type="character" w:customStyle="1" w:styleId="CorpsdetexteCar">
    <w:name w:val="Corps de texte Car"/>
    <w:basedOn w:val="Policepardfaut"/>
    <w:link w:val="Corpsdetexte"/>
    <w:uiPriority w:val="99"/>
    <w:rsid w:val="00F25A2B"/>
    <w:rPr>
      <w:rFonts w:ascii="Calibri" w:eastAsia="Calibri" w:hAnsi="Calibri" w:cs="Calibri"/>
      <w:lang w:val="fr-CA" w:eastAsia="zh-CN"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1314</Characters>
  <Application>Microsoft Office Word</Application>
  <DocSecurity>0</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Fitzgerald</dc:creator>
  <cp:lastModifiedBy>Marie-Michèle</cp:lastModifiedBy>
  <cp:revision>2</cp:revision>
  <dcterms:created xsi:type="dcterms:W3CDTF">2019-08-18T13:33:00Z</dcterms:created>
  <dcterms:modified xsi:type="dcterms:W3CDTF">2019-08-18T13:33:00Z</dcterms:modified>
</cp:coreProperties>
</file>