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9AD8" w14:textId="0BE1A41B" w:rsidR="00D556FE" w:rsidRDefault="009226CD" w:rsidP="009226CD">
      <w:pPr>
        <w:jc w:val="right"/>
      </w:pPr>
      <w:r>
        <w:rPr>
          <w:rStyle w:val="SubtleReference"/>
          <w:noProof/>
          <w:lang w:val="en-GB" w:eastAsia="en-GB"/>
        </w:rPr>
        <w:drawing>
          <wp:inline distT="0" distB="0" distL="0" distR="0" wp14:anchorId="6B867145" wp14:editId="1829850B">
            <wp:extent cx="1737808" cy="49577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071" cy="515251"/>
                    </a:xfrm>
                    <a:prstGeom prst="rect">
                      <a:avLst/>
                    </a:prstGeom>
                    <a:noFill/>
                    <a:ln>
                      <a:noFill/>
                    </a:ln>
                  </pic:spPr>
                </pic:pic>
              </a:graphicData>
            </a:graphic>
          </wp:inline>
        </w:drawing>
      </w:r>
    </w:p>
    <w:p w14:paraId="4C4CC084" w14:textId="206D1835" w:rsidR="00D556FE" w:rsidRPr="00D556FE" w:rsidRDefault="00D556FE" w:rsidP="00413A43">
      <w:pPr>
        <w:pStyle w:val="Title"/>
      </w:pPr>
      <w:bookmarkStart w:id="0" w:name="_Toc522794662"/>
      <w:r>
        <w:t>Terms o</w:t>
      </w:r>
      <w:r w:rsidRPr="00D556FE">
        <w:t xml:space="preserve">f Reference </w:t>
      </w:r>
      <w:proofErr w:type="gramStart"/>
      <w:r w:rsidRPr="00D556FE">
        <w:t>–</w:t>
      </w:r>
      <w:bookmarkEnd w:id="0"/>
      <w:r w:rsidR="00035DF7">
        <w:t xml:space="preserve"> </w:t>
      </w:r>
      <w:r w:rsidR="00227597">
        <w:t xml:space="preserve"> </w:t>
      </w:r>
      <w:r w:rsidR="009602C9">
        <w:t>F</w:t>
      </w:r>
      <w:r w:rsidR="00227597">
        <w:t>inal</w:t>
      </w:r>
      <w:r w:rsidR="009602C9">
        <w:t>ization</w:t>
      </w:r>
      <w:proofErr w:type="gramEnd"/>
      <w:r w:rsidR="00035DF7">
        <w:t xml:space="preserve"> </w:t>
      </w:r>
      <w:r w:rsidR="007F6E97">
        <w:t xml:space="preserve">of </w:t>
      </w:r>
      <w:r w:rsidR="00035DF7" w:rsidRPr="00035DF7">
        <w:t xml:space="preserve">the </w:t>
      </w:r>
      <w:r w:rsidR="00413A43">
        <w:t>draft</w:t>
      </w:r>
      <w:r w:rsidR="00413A43" w:rsidRPr="00035DF7">
        <w:t xml:space="preserve"> </w:t>
      </w:r>
      <w:r w:rsidR="00035DF7" w:rsidRPr="00035DF7">
        <w:t>Child Protection in Emergencies Competency Framewor</w:t>
      </w:r>
      <w:r w:rsidR="00907886">
        <w:t>k</w:t>
      </w:r>
      <w:r w:rsidR="00D778C3">
        <w:t xml:space="preserve"> </w:t>
      </w:r>
      <w:r w:rsidR="00035DF7">
        <w:t>Consultancy</w:t>
      </w:r>
    </w:p>
    <w:p w14:paraId="7E4BDF29" w14:textId="57B18501" w:rsidR="00D556FE" w:rsidRPr="00B73895" w:rsidRDefault="00D556FE" w:rsidP="00D556FE">
      <w:pPr>
        <w:pStyle w:val="Title"/>
        <w:rPr>
          <w:rFonts w:ascii="Helvetica Neue" w:hAnsi="Helvetica Neue"/>
          <w:sz w:val="28"/>
          <w:szCs w:val="28"/>
          <w:lang w:val="en-GB"/>
        </w:rPr>
      </w:pPr>
      <w:bookmarkStart w:id="1" w:name="_Toc522794663"/>
      <w:r w:rsidRPr="00B73895">
        <w:rPr>
          <w:rFonts w:ascii="Helvetica Neue" w:hAnsi="Helvetica Neue"/>
          <w:sz w:val="28"/>
          <w:szCs w:val="28"/>
          <w:lang w:val="en-GB"/>
        </w:rPr>
        <w:t>Learning and Development Working Group (L</w:t>
      </w:r>
      <w:r w:rsidR="001162ED" w:rsidRPr="00B73895">
        <w:rPr>
          <w:rFonts w:ascii="Helvetica Neue" w:hAnsi="Helvetica Neue"/>
          <w:sz w:val="28"/>
          <w:szCs w:val="28"/>
          <w:lang w:val="en-GB"/>
        </w:rPr>
        <w:t>DWG</w:t>
      </w:r>
      <w:r w:rsidRPr="00B73895">
        <w:rPr>
          <w:rFonts w:ascii="Helvetica Neue" w:hAnsi="Helvetica Neue"/>
          <w:sz w:val="28"/>
          <w:szCs w:val="28"/>
          <w:lang w:val="en-GB"/>
        </w:rPr>
        <w:t>)</w:t>
      </w:r>
      <w:bookmarkEnd w:id="1"/>
    </w:p>
    <w:p w14:paraId="7A54C87A" w14:textId="77777777" w:rsidR="00B73895" w:rsidRDefault="00B73895" w:rsidP="00B73895">
      <w:pPr>
        <w:spacing w:line="312" w:lineRule="auto"/>
        <w:jc w:val="both"/>
        <w:rPr>
          <w:rFonts w:ascii="Helvetica Neue" w:hAnsi="Helvetica Neue" w:cs="Arial"/>
          <w:b/>
          <w:bCs/>
        </w:rPr>
      </w:pPr>
      <w:bookmarkStart w:id="2" w:name="_Toc511732537"/>
      <w:bookmarkStart w:id="3" w:name="_Toc522794664"/>
    </w:p>
    <w:p w14:paraId="5149AE5E" w14:textId="6F2AA384" w:rsidR="00B73895" w:rsidRDefault="00B73895" w:rsidP="00B73895">
      <w:pPr>
        <w:pStyle w:val="BodyText"/>
      </w:pPr>
      <w:r w:rsidRPr="00B73895">
        <w:t>Location:</w:t>
      </w:r>
      <w:r w:rsidRPr="00B73895">
        <w:tab/>
      </w:r>
      <w:r w:rsidRPr="00B73895">
        <w:tab/>
      </w:r>
      <w:r w:rsidRPr="00B73895">
        <w:tab/>
      </w:r>
      <w:r w:rsidR="00035DF7">
        <w:t>Home-based</w:t>
      </w:r>
    </w:p>
    <w:p w14:paraId="21BB32F0" w14:textId="4AD7060D" w:rsidR="003A6165" w:rsidRDefault="003A6165" w:rsidP="00B73895">
      <w:pPr>
        <w:pStyle w:val="BodyText"/>
      </w:pPr>
      <w:r>
        <w:t>Contract Type:</w:t>
      </w:r>
      <w:r>
        <w:tab/>
      </w:r>
      <w:r>
        <w:tab/>
      </w:r>
      <w:r>
        <w:tab/>
        <w:t>Consultant</w:t>
      </w:r>
    </w:p>
    <w:p w14:paraId="360FFE29" w14:textId="7CA8A28A" w:rsidR="003A6165" w:rsidRDefault="003A6165" w:rsidP="00B73895">
      <w:pPr>
        <w:pStyle w:val="BodyText"/>
      </w:pPr>
      <w:r w:rsidRPr="00A84AAC">
        <w:t>Reports directly to</w:t>
      </w:r>
      <w:r>
        <w:t xml:space="preserve">: </w:t>
      </w:r>
      <w:r>
        <w:tab/>
      </w:r>
      <w:r>
        <w:tab/>
      </w:r>
      <w:r w:rsidRPr="001F2B48">
        <w:t>L&amp;D WG Focal Point</w:t>
      </w:r>
    </w:p>
    <w:p w14:paraId="6C7095AC" w14:textId="2B075602" w:rsidR="003A6165" w:rsidRDefault="003A6165" w:rsidP="00B73895">
      <w:pPr>
        <w:pStyle w:val="BodyText"/>
      </w:pPr>
      <w:r>
        <w:t>Vacancy e</w:t>
      </w:r>
      <w:r w:rsidRPr="00A84AAC">
        <w:t>stimated closing date</w:t>
      </w:r>
      <w:r>
        <w:t xml:space="preserve">: </w:t>
      </w:r>
      <w:r w:rsidR="00D1316D">
        <w:t>End of September</w:t>
      </w:r>
    </w:p>
    <w:p w14:paraId="7576B400" w14:textId="1951AB05" w:rsidR="00FB3AD8" w:rsidRDefault="00FB3AD8" w:rsidP="00B73895">
      <w:pPr>
        <w:pStyle w:val="BodyText"/>
      </w:pPr>
      <w:r>
        <w:t xml:space="preserve">Recruiting agency: </w:t>
      </w:r>
      <w:proofErr w:type="spellStart"/>
      <w:r>
        <w:t>Tdh</w:t>
      </w:r>
      <w:proofErr w:type="spellEnd"/>
    </w:p>
    <w:p w14:paraId="6D1AB129" w14:textId="537B6577" w:rsidR="00FB3AD8" w:rsidRPr="00B73895" w:rsidRDefault="00FB3AD8" w:rsidP="00B73895">
      <w:pPr>
        <w:pStyle w:val="BodyText"/>
      </w:pPr>
      <w:r>
        <w:t>Estimated number of days</w:t>
      </w:r>
      <w:r w:rsidR="00D1316D">
        <w:t>: 11 days</w:t>
      </w:r>
    </w:p>
    <w:p w14:paraId="7631AD72" w14:textId="40323245" w:rsidR="0048645E" w:rsidRDefault="001162ED" w:rsidP="00035DF7">
      <w:pPr>
        <w:pStyle w:val="1Heading1"/>
      </w:pPr>
      <w:r w:rsidRPr="001162ED">
        <w:t>BACKGROUND</w:t>
      </w:r>
      <w:bookmarkEnd w:id="2"/>
      <w:bookmarkEnd w:id="3"/>
    </w:p>
    <w:p w14:paraId="1833919A" w14:textId="5E304172" w:rsidR="007F6E97" w:rsidRDefault="007F6E97" w:rsidP="007F6E97">
      <w:r w:rsidRPr="00176707">
        <w:t xml:space="preserve">In 2010, the </w:t>
      </w:r>
      <w:r w:rsidR="00D91FB8">
        <w:t>Child Protection Working Group (</w:t>
      </w:r>
      <w:r w:rsidRPr="00176707">
        <w:t>CPWG</w:t>
      </w:r>
      <w:r w:rsidR="00D91FB8">
        <w:t>)</w:t>
      </w:r>
      <w:r w:rsidRPr="00176707">
        <w:t xml:space="preserve"> launched an inter-agency initiative to develop the CPIE Competency Framework, which provided standards for staff recruitment, management and professional development. As the need for skilled professionals grows, the </w:t>
      </w:r>
      <w:r w:rsidR="00D91FB8">
        <w:t>Learning and Development Working Group (</w:t>
      </w:r>
      <w:r w:rsidRPr="00176707">
        <w:t>LDWG</w:t>
      </w:r>
      <w:r w:rsidR="00D91FB8">
        <w:t>) of the Alliance for Child Protection in Humanitarian Action,</w:t>
      </w:r>
      <w:r>
        <w:t xml:space="preserve"> </w:t>
      </w:r>
      <w:r w:rsidRPr="00176707">
        <w:t xml:space="preserve">has led the revision of </w:t>
      </w:r>
      <w:r w:rsidRPr="00176707">
        <w:lastRenderedPageBreak/>
        <w:t xml:space="preserve">the </w:t>
      </w:r>
      <w:r w:rsidR="00D91FB8">
        <w:t xml:space="preserve">2010 competency </w:t>
      </w:r>
      <w:r w:rsidRPr="00176707">
        <w:t>framework in close collaboration with the other working groups and task forces</w:t>
      </w:r>
      <w:r w:rsidR="004F5AD0">
        <w:rPr>
          <w:rStyle w:val="FootnoteReference"/>
        </w:rPr>
        <w:footnoteReference w:id="1"/>
      </w:r>
      <w:r w:rsidRPr="001C35D0">
        <w:t>.</w:t>
      </w:r>
      <w:r w:rsidR="004F5AD0">
        <w:t xml:space="preserve"> </w:t>
      </w:r>
      <w:r>
        <w:t xml:space="preserve">The </w:t>
      </w:r>
      <w:r w:rsidR="007E13FA">
        <w:t>publication of the 2</w:t>
      </w:r>
      <w:r w:rsidR="00D91FB8">
        <w:t>n</w:t>
      </w:r>
      <w:r w:rsidR="007E13FA">
        <w:t xml:space="preserve">d edition </w:t>
      </w:r>
      <w:r w:rsidRPr="008906EC">
        <w:t>of the Minimum Standards for Child Protection in Humanitarian Action (CPMS)</w:t>
      </w:r>
      <w:r>
        <w:t xml:space="preserve">, </w:t>
      </w:r>
      <w:r w:rsidR="00D91FB8">
        <w:t>necessitates a final review of this</w:t>
      </w:r>
      <w:r>
        <w:t xml:space="preserve"> Competency Framework. </w:t>
      </w:r>
    </w:p>
    <w:p w14:paraId="6B8BDE86" w14:textId="26313B54" w:rsidR="007F6E97" w:rsidRDefault="007F6E97" w:rsidP="007F6E97">
      <w:r w:rsidRPr="008906EC">
        <w:t xml:space="preserve">In 2018, the LDWG commenced the revision process, led by Terre des </w:t>
      </w:r>
      <w:r w:rsidR="003F19A0">
        <w:t>h</w:t>
      </w:r>
      <w:r w:rsidRPr="008906EC">
        <w:t xml:space="preserve">ommes, </w:t>
      </w:r>
      <w:r>
        <w:t>and developed the first version</w:t>
      </w:r>
      <w:r w:rsidRPr="008906EC">
        <w:t xml:space="preserve"> </w:t>
      </w:r>
      <w:r>
        <w:t>after</w:t>
      </w:r>
      <w:r w:rsidRPr="008906EC">
        <w:t xml:space="preserve"> interviewing 53 key informant interviews</w:t>
      </w:r>
      <w:r w:rsidR="001E3A9E">
        <w:t xml:space="preserve"> and</w:t>
      </w:r>
      <w:r w:rsidRPr="008906EC">
        <w:t xml:space="preserve"> </w:t>
      </w:r>
      <w:r w:rsidR="001E3A9E" w:rsidRPr="008906EC">
        <w:t>review</w:t>
      </w:r>
      <w:r w:rsidR="001E3A9E">
        <w:t>ing</w:t>
      </w:r>
      <w:r w:rsidR="001E3A9E" w:rsidRPr="008906EC">
        <w:t xml:space="preserve"> </w:t>
      </w:r>
      <w:r w:rsidRPr="008906EC">
        <w:t>89 key documents, across 26 countries (Afghanistan, Bangladesh, Cambodia, Canada, DRC, Ecuador, Ethiopia, France, Germany, Greece, Iraq, Italy, Jordan, Kenya, Myanmar, Netherlands, Nigeria, Norway, Philippines, Somalia, South Sudan, Switzerland, Thailand, Turkey, UK, USA).</w:t>
      </w:r>
    </w:p>
    <w:p w14:paraId="7851268B" w14:textId="02CC3B6C" w:rsidR="00B73895" w:rsidRDefault="00B73895" w:rsidP="00B73895">
      <w:pPr>
        <w:pStyle w:val="1Heading1"/>
      </w:pPr>
      <w:r>
        <w:t xml:space="preserve">Purpose </w:t>
      </w:r>
    </w:p>
    <w:p w14:paraId="0E89B49C" w14:textId="75C0AF0B" w:rsidR="00035DF7" w:rsidRDefault="00035DF7" w:rsidP="00991DC3">
      <w:bookmarkStart w:id="4" w:name="_Toc522794668"/>
      <w:r w:rsidRPr="00475927">
        <w:t xml:space="preserve">The overall goal of this consultancy is to </w:t>
      </w:r>
      <w:r w:rsidR="00F434A0">
        <w:t xml:space="preserve">support the LDWG in the implementation of </w:t>
      </w:r>
      <w:r w:rsidR="00F434A0" w:rsidRPr="00072FD8">
        <w:t xml:space="preserve">Phase 3 </w:t>
      </w:r>
      <w:r w:rsidR="00F434A0">
        <w:t xml:space="preserve">of the revision </w:t>
      </w:r>
      <w:r w:rsidR="00F434A0" w:rsidRPr="00072FD8">
        <w:t xml:space="preserve">of the CPHA Competency Framework </w:t>
      </w:r>
      <w:r w:rsidR="00F434A0">
        <w:t xml:space="preserve">2019 </w:t>
      </w:r>
      <w:r w:rsidR="00F434A0" w:rsidRPr="00072FD8">
        <w:t xml:space="preserve">that involves </w:t>
      </w:r>
      <w:r w:rsidR="00F434A0">
        <w:t>full alignment with the 2</w:t>
      </w:r>
      <w:r w:rsidR="00F434A0" w:rsidRPr="004F5AD0">
        <w:rPr>
          <w:vertAlign w:val="superscript"/>
        </w:rPr>
        <w:t>nd</w:t>
      </w:r>
      <w:r w:rsidR="00F434A0">
        <w:t xml:space="preserve"> revision of the CPMS </w:t>
      </w:r>
      <w:r w:rsidR="00F434A0" w:rsidRPr="00035DF7">
        <w:t>structure</w:t>
      </w:r>
      <w:r w:rsidR="00F434A0">
        <w:t xml:space="preserve"> and standards and final </w:t>
      </w:r>
      <w:r w:rsidR="00F434A0" w:rsidRPr="00072FD8">
        <w:t xml:space="preserve">engagement with </w:t>
      </w:r>
      <w:r w:rsidR="00F434A0">
        <w:t xml:space="preserve">key stakeholders, including </w:t>
      </w:r>
      <w:r w:rsidR="00F434A0" w:rsidRPr="00072FD8">
        <w:t>end users</w:t>
      </w:r>
      <w:r w:rsidR="00F434A0">
        <w:t xml:space="preserve"> and experts </w:t>
      </w:r>
      <w:r w:rsidRPr="00035DF7">
        <w:t>(national and international</w:t>
      </w:r>
      <w:r w:rsidR="00F434A0">
        <w:t>)</w:t>
      </w:r>
      <w:r w:rsidRPr="00035DF7">
        <w:t xml:space="preserve"> in the respective fields of technical expertise to make the competency framework as practical and relevant as possible</w:t>
      </w:r>
      <w:r w:rsidRPr="00475927">
        <w:t xml:space="preserve">. This </w:t>
      </w:r>
      <w:r w:rsidR="003125E1">
        <w:t>final</w:t>
      </w:r>
      <w:r w:rsidR="003125E1" w:rsidRPr="00475927">
        <w:t xml:space="preserve"> </w:t>
      </w:r>
      <w:r w:rsidRPr="00475927">
        <w:t>version will need to encompass</w:t>
      </w:r>
      <w:r w:rsidR="00991DC3">
        <w:t xml:space="preserve"> the feedback provided by end-users at the field level</w:t>
      </w:r>
      <w:r w:rsidRPr="00475927">
        <w:t xml:space="preserve"> as well as the recommendations of key members of the LDWG as well as academic institutions. </w:t>
      </w:r>
    </w:p>
    <w:p w14:paraId="36FDA246" w14:textId="6D980A9B" w:rsidR="00E3673A" w:rsidRDefault="00E3673A" w:rsidP="00AE00C8">
      <w:r>
        <w:t>For this purpose, we expect the consultant</w:t>
      </w:r>
      <w:r w:rsidR="00AE00C8">
        <w:t xml:space="preserve"> to</w:t>
      </w:r>
      <w:r>
        <w:t>:</w:t>
      </w:r>
    </w:p>
    <w:p w14:paraId="6DBB2F99" w14:textId="22359A82" w:rsidR="00E3673A" w:rsidRDefault="00E3673A" w:rsidP="00AE00C8">
      <w:pPr>
        <w:pStyle w:val="ListParagraph"/>
        <w:numPr>
          <w:ilvl w:val="0"/>
          <w:numId w:val="28"/>
        </w:numPr>
        <w:tabs>
          <w:tab w:val="left" w:pos="0"/>
          <w:tab w:val="left" w:pos="1800"/>
        </w:tabs>
        <w:spacing w:after="0" w:line="312" w:lineRule="auto"/>
        <w:jc w:val="both"/>
      </w:pPr>
      <w:r w:rsidRPr="00E3673A">
        <w:t>Coordinat</w:t>
      </w:r>
      <w:r>
        <w:t xml:space="preserve">e </w:t>
      </w:r>
      <w:r w:rsidR="0048441D">
        <w:t>&amp;</w:t>
      </w:r>
      <w:r w:rsidR="0048441D" w:rsidRPr="0048441D">
        <w:t xml:space="preserve"> </w:t>
      </w:r>
      <w:r w:rsidR="0048441D">
        <w:t>support reference groups in a</w:t>
      </w:r>
      <w:r w:rsidR="00AE00C8">
        <w:t xml:space="preserve"> final </w:t>
      </w:r>
      <w:r w:rsidR="0048441D">
        <w:t xml:space="preserve">technical </w:t>
      </w:r>
      <w:r w:rsidR="00AE00C8">
        <w:t>revision</w:t>
      </w:r>
      <w:r w:rsidR="002710C1">
        <w:t xml:space="preserve"> </w:t>
      </w:r>
      <w:r w:rsidR="00AE00C8">
        <w:t xml:space="preserve">process </w:t>
      </w:r>
    </w:p>
    <w:p w14:paraId="411DF672" w14:textId="5AB1C71D" w:rsidR="00E3673A" w:rsidRDefault="00E3673A" w:rsidP="00E3673A">
      <w:pPr>
        <w:pStyle w:val="ListParagraph"/>
        <w:numPr>
          <w:ilvl w:val="0"/>
          <w:numId w:val="28"/>
        </w:numPr>
        <w:tabs>
          <w:tab w:val="left" w:pos="0"/>
          <w:tab w:val="left" w:pos="1800"/>
        </w:tabs>
        <w:spacing w:after="0" w:line="312" w:lineRule="auto"/>
        <w:jc w:val="both"/>
      </w:pPr>
      <w:r w:rsidRPr="00E3673A">
        <w:t>Coordinat</w:t>
      </w:r>
      <w:r>
        <w:t>e with</w:t>
      </w:r>
      <w:r w:rsidRPr="00E3673A">
        <w:t xml:space="preserve"> CPMS </w:t>
      </w:r>
      <w:r w:rsidR="003D4F7E">
        <w:t>Working</w:t>
      </w:r>
      <w:r w:rsidRPr="00E3673A">
        <w:t xml:space="preserve"> </w:t>
      </w:r>
      <w:r w:rsidR="003D4F7E">
        <w:t>Group and review the 2</w:t>
      </w:r>
      <w:r w:rsidR="003D4F7E" w:rsidRPr="004F5AD0">
        <w:rPr>
          <w:vertAlign w:val="superscript"/>
        </w:rPr>
        <w:t>nd</w:t>
      </w:r>
      <w:r w:rsidR="003D4F7E">
        <w:t xml:space="preserve"> edition of CPMS</w:t>
      </w:r>
      <w:r w:rsidR="003D4F7E" w:rsidRPr="00E3673A">
        <w:t xml:space="preserve"> </w:t>
      </w:r>
      <w:r w:rsidRPr="00E3673A">
        <w:t>to ensure alignment &amp; coherence with revised CPMS</w:t>
      </w:r>
    </w:p>
    <w:p w14:paraId="71307E58" w14:textId="01E2E46F" w:rsidR="0048441D" w:rsidRDefault="0048441D" w:rsidP="00E3673A">
      <w:pPr>
        <w:pStyle w:val="ListParagraph"/>
        <w:numPr>
          <w:ilvl w:val="0"/>
          <w:numId w:val="28"/>
        </w:numPr>
        <w:tabs>
          <w:tab w:val="left" w:pos="0"/>
          <w:tab w:val="left" w:pos="1800"/>
        </w:tabs>
        <w:spacing w:after="0" w:line="312" w:lineRule="auto"/>
        <w:jc w:val="both"/>
      </w:pPr>
      <w:r>
        <w:t>Revising the framework from “user-friendliness” perspective</w:t>
      </w:r>
    </w:p>
    <w:p w14:paraId="0C4DEFF2" w14:textId="5DEEFF03" w:rsidR="0048441D" w:rsidRDefault="0048441D" w:rsidP="0048441D">
      <w:pPr>
        <w:pStyle w:val="ListParagraph"/>
        <w:numPr>
          <w:ilvl w:val="0"/>
          <w:numId w:val="28"/>
        </w:numPr>
        <w:tabs>
          <w:tab w:val="left" w:pos="0"/>
          <w:tab w:val="left" w:pos="1800"/>
        </w:tabs>
        <w:spacing w:after="0" w:line="312" w:lineRule="auto"/>
        <w:jc w:val="both"/>
      </w:pPr>
      <w:r>
        <w:t>Reviewing the feedback already provided</w:t>
      </w:r>
    </w:p>
    <w:p w14:paraId="5C422F7E" w14:textId="77777777" w:rsidR="00B73895" w:rsidRPr="00475927" w:rsidRDefault="00B73895" w:rsidP="00B73895">
      <w:pPr>
        <w:pStyle w:val="1Heading1"/>
        <w:rPr>
          <w:lang w:val="en-GB"/>
        </w:rPr>
      </w:pPr>
      <w:r w:rsidRPr="00475927">
        <w:rPr>
          <w:lang w:val="en-GB"/>
        </w:rPr>
        <w:t>Expected results &amp; time frame</w:t>
      </w:r>
    </w:p>
    <w:p w14:paraId="4C077990" w14:textId="433BE046" w:rsidR="004C3118" w:rsidRDefault="004C3118" w:rsidP="00D95FA5">
      <w:pPr>
        <w:tabs>
          <w:tab w:val="left" w:pos="0"/>
          <w:tab w:val="left" w:pos="1800"/>
        </w:tabs>
        <w:spacing w:after="0" w:line="312" w:lineRule="auto"/>
        <w:jc w:val="both"/>
      </w:pPr>
      <w:r w:rsidRPr="001F2B48">
        <w:t xml:space="preserve">Expected results </w:t>
      </w:r>
      <w:r w:rsidR="00D95FA5" w:rsidRPr="00887D8B">
        <w:t>focus on phase 3-6</w:t>
      </w:r>
      <w:r w:rsidRPr="001F2B48">
        <w:t>, all in collaboration and close communication with the LDWG Focal Point:</w:t>
      </w:r>
    </w:p>
    <w:p w14:paraId="0E132081" w14:textId="425D142D" w:rsidR="00035DF7" w:rsidRPr="001F2B48" w:rsidRDefault="00035DF7" w:rsidP="001F2B48">
      <w:pPr>
        <w:tabs>
          <w:tab w:val="left" w:pos="0"/>
          <w:tab w:val="left" w:pos="1800"/>
        </w:tabs>
        <w:spacing w:after="0" w:line="312" w:lineRule="auto"/>
        <w:jc w:val="both"/>
      </w:pPr>
    </w:p>
    <w:p w14:paraId="745FF1F4" w14:textId="77777777" w:rsidR="00F434A0" w:rsidRDefault="00F434A0" w:rsidP="00F434A0">
      <w:pPr>
        <w:tabs>
          <w:tab w:val="left" w:pos="0"/>
          <w:tab w:val="left" w:pos="1800"/>
        </w:tabs>
        <w:spacing w:after="0" w:line="312" w:lineRule="auto"/>
        <w:jc w:val="both"/>
      </w:pPr>
      <w:r>
        <w:t>A revised Competency Framework that reflects:</w:t>
      </w:r>
    </w:p>
    <w:p w14:paraId="1FD20A4A" w14:textId="3945B5D2" w:rsidR="00F434A0" w:rsidRDefault="00F434A0" w:rsidP="00F434A0">
      <w:pPr>
        <w:pStyle w:val="ListParagraph"/>
        <w:numPr>
          <w:ilvl w:val="0"/>
          <w:numId w:val="28"/>
        </w:numPr>
        <w:tabs>
          <w:tab w:val="left" w:pos="0"/>
          <w:tab w:val="left" w:pos="1800"/>
        </w:tabs>
        <w:spacing w:after="0" w:line="312" w:lineRule="auto"/>
        <w:jc w:val="both"/>
      </w:pPr>
      <w:r>
        <w:t>The 2</w:t>
      </w:r>
      <w:r w:rsidRPr="00F434A0">
        <w:t>nd</w:t>
      </w:r>
      <w:r>
        <w:t xml:space="preserve"> edition of the CPMS</w:t>
      </w:r>
    </w:p>
    <w:p w14:paraId="57E17B0B" w14:textId="77777777" w:rsidR="00F434A0" w:rsidRDefault="00F434A0" w:rsidP="00F434A0">
      <w:pPr>
        <w:pStyle w:val="ListParagraph"/>
        <w:numPr>
          <w:ilvl w:val="0"/>
          <w:numId w:val="28"/>
        </w:numPr>
        <w:tabs>
          <w:tab w:val="left" w:pos="0"/>
          <w:tab w:val="left" w:pos="1800"/>
        </w:tabs>
        <w:spacing w:after="0" w:line="312" w:lineRule="auto"/>
        <w:jc w:val="both"/>
      </w:pPr>
      <w:r>
        <w:t>Feedback on the 2019 version already received</w:t>
      </w:r>
    </w:p>
    <w:p w14:paraId="003A3DC0" w14:textId="77777777" w:rsidR="00F434A0" w:rsidRDefault="00F434A0" w:rsidP="00F434A0">
      <w:pPr>
        <w:pStyle w:val="ListParagraph"/>
        <w:numPr>
          <w:ilvl w:val="0"/>
          <w:numId w:val="28"/>
        </w:numPr>
        <w:tabs>
          <w:tab w:val="left" w:pos="0"/>
          <w:tab w:val="left" w:pos="1800"/>
        </w:tabs>
        <w:spacing w:after="0" w:line="312" w:lineRule="auto"/>
        <w:jc w:val="both"/>
      </w:pPr>
      <w:r>
        <w:lastRenderedPageBreak/>
        <w:t>Limited field consultation</w:t>
      </w:r>
    </w:p>
    <w:p w14:paraId="43CEECD1" w14:textId="5DCD91F2" w:rsidR="00F434A0" w:rsidRDefault="00F434A0" w:rsidP="00F434A0">
      <w:pPr>
        <w:pStyle w:val="ListParagraph"/>
        <w:numPr>
          <w:ilvl w:val="0"/>
          <w:numId w:val="28"/>
        </w:numPr>
        <w:tabs>
          <w:tab w:val="left" w:pos="0"/>
          <w:tab w:val="left" w:pos="1800"/>
        </w:tabs>
        <w:spacing w:after="0" w:line="312" w:lineRule="auto"/>
        <w:jc w:val="both"/>
      </w:pPr>
      <w:r>
        <w:t>A thorough “user</w:t>
      </w:r>
      <w:r w:rsidR="00102367">
        <w:t>-</w:t>
      </w:r>
      <w:bookmarkStart w:id="5" w:name="_GoBack"/>
      <w:bookmarkEnd w:id="5"/>
      <w:r>
        <w:t>friendliness” review.</w:t>
      </w:r>
    </w:p>
    <w:p w14:paraId="2438E694" w14:textId="77777777" w:rsidR="00045ECC" w:rsidRDefault="00045ECC" w:rsidP="00B73895">
      <w:pPr>
        <w:tabs>
          <w:tab w:val="left" w:pos="0"/>
          <w:tab w:val="left" w:pos="1800"/>
        </w:tabs>
        <w:spacing w:after="0" w:line="312" w:lineRule="auto"/>
        <w:jc w:val="both"/>
      </w:pPr>
    </w:p>
    <w:p w14:paraId="10277C8C" w14:textId="30CE8DC7" w:rsidR="00B73895" w:rsidRDefault="00B73895" w:rsidP="00B73895">
      <w:pPr>
        <w:pStyle w:val="1Heading1"/>
      </w:pPr>
      <w:r w:rsidRPr="00B73895">
        <w:t>Key competences, technical background, and experience required:</w:t>
      </w:r>
    </w:p>
    <w:bookmarkEnd w:id="4"/>
    <w:p w14:paraId="7B7CA0BE" w14:textId="0ACB4270" w:rsidR="00035DF7" w:rsidRPr="00035DF7" w:rsidRDefault="00035DF7" w:rsidP="00035DF7">
      <w:pPr>
        <w:pStyle w:val="ListParagraph"/>
        <w:numPr>
          <w:ilvl w:val="0"/>
          <w:numId w:val="27"/>
        </w:numPr>
      </w:pPr>
      <w:r w:rsidRPr="00035DF7">
        <w:t>In-depth experience of training development and delivery, including on child protection</w:t>
      </w:r>
      <w:r w:rsidR="0082036E">
        <w:t xml:space="preserve"> in humanitarian settings</w:t>
      </w:r>
      <w:r w:rsidRPr="00035DF7">
        <w:t xml:space="preserve">, </w:t>
      </w:r>
      <w:r w:rsidR="0082036E">
        <w:t>and/or</w:t>
      </w:r>
      <w:r w:rsidRPr="00035DF7">
        <w:t xml:space="preserve"> on </w:t>
      </w:r>
      <w:r w:rsidR="0082036E">
        <w:t xml:space="preserve">broader </w:t>
      </w:r>
      <w:r w:rsidRPr="00035DF7">
        <w:t>humanitarian issues</w:t>
      </w:r>
    </w:p>
    <w:p w14:paraId="772F9913" w14:textId="77777777" w:rsidR="00035DF7" w:rsidRPr="00035DF7" w:rsidRDefault="00035DF7" w:rsidP="00035DF7">
      <w:pPr>
        <w:pStyle w:val="ListParagraph"/>
        <w:numPr>
          <w:ilvl w:val="0"/>
          <w:numId w:val="27"/>
        </w:numPr>
      </w:pPr>
      <w:r w:rsidRPr="00475927">
        <w:t>Advanced university degree in Social Sciences and / or a related technical field.</w:t>
      </w:r>
    </w:p>
    <w:p w14:paraId="78105813" w14:textId="77777777" w:rsidR="00035DF7" w:rsidRPr="00035DF7" w:rsidRDefault="00035DF7" w:rsidP="00035DF7">
      <w:pPr>
        <w:pStyle w:val="ListParagraph"/>
        <w:numPr>
          <w:ilvl w:val="0"/>
          <w:numId w:val="27"/>
        </w:numPr>
      </w:pPr>
      <w:r w:rsidRPr="00035DF7">
        <w:t>At least 8 years of progressively responsible, professional work experience on CP at the international level, including strong background on child protection in emergencies (conflict and/or disaster) and working in challenging contexts</w:t>
      </w:r>
    </w:p>
    <w:p w14:paraId="260FB994" w14:textId="77777777" w:rsidR="00035DF7" w:rsidRPr="00035DF7" w:rsidRDefault="00035DF7" w:rsidP="00035DF7">
      <w:pPr>
        <w:pStyle w:val="ListParagraph"/>
        <w:numPr>
          <w:ilvl w:val="0"/>
          <w:numId w:val="27"/>
        </w:numPr>
      </w:pPr>
      <w:r w:rsidRPr="00035DF7">
        <w:t>A recognised learning and development qualification, an advantage</w:t>
      </w:r>
    </w:p>
    <w:p w14:paraId="444F332A" w14:textId="77777777" w:rsidR="00035DF7" w:rsidRPr="00035DF7" w:rsidRDefault="00035DF7" w:rsidP="00035DF7">
      <w:pPr>
        <w:pStyle w:val="ListParagraph"/>
        <w:numPr>
          <w:ilvl w:val="0"/>
          <w:numId w:val="27"/>
        </w:numPr>
      </w:pPr>
      <w:r w:rsidRPr="00035DF7">
        <w:t>Experience working with governments and other key CP stakeholders/actors at national level</w:t>
      </w:r>
    </w:p>
    <w:p w14:paraId="2D6AA847" w14:textId="77777777" w:rsidR="00035DF7" w:rsidRPr="00035DF7" w:rsidRDefault="00035DF7" w:rsidP="00035DF7">
      <w:pPr>
        <w:pStyle w:val="ListParagraph"/>
        <w:numPr>
          <w:ilvl w:val="0"/>
          <w:numId w:val="27"/>
        </w:numPr>
      </w:pPr>
      <w:r w:rsidRPr="00035DF7">
        <w:t>Knowledge of the LDWG members</w:t>
      </w:r>
    </w:p>
    <w:p w14:paraId="6FC67359" w14:textId="77777777" w:rsidR="00035DF7" w:rsidRPr="00035DF7" w:rsidRDefault="00035DF7" w:rsidP="00035DF7">
      <w:pPr>
        <w:pStyle w:val="ListParagraph"/>
        <w:numPr>
          <w:ilvl w:val="0"/>
          <w:numId w:val="27"/>
        </w:numPr>
      </w:pPr>
      <w:r w:rsidRPr="00035DF7">
        <w:t>Excellent organizational skills</w:t>
      </w:r>
    </w:p>
    <w:p w14:paraId="2B440915" w14:textId="07DBE8DA" w:rsidR="00035DF7" w:rsidRDefault="00035DF7" w:rsidP="00035DF7">
      <w:pPr>
        <w:pStyle w:val="ListParagraph"/>
        <w:numPr>
          <w:ilvl w:val="0"/>
          <w:numId w:val="27"/>
        </w:numPr>
      </w:pPr>
      <w:r w:rsidRPr="00035DF7">
        <w:t>Excellent skills in written English language, interpersonal communication at a distance and collaborative project management</w:t>
      </w:r>
    </w:p>
    <w:p w14:paraId="1A80B942" w14:textId="2E9CFA36" w:rsidR="00F434A0" w:rsidRPr="00035DF7" w:rsidRDefault="00F434A0" w:rsidP="00035DF7">
      <w:pPr>
        <w:pStyle w:val="ListParagraph"/>
        <w:numPr>
          <w:ilvl w:val="0"/>
          <w:numId w:val="27"/>
        </w:numPr>
      </w:pPr>
      <w:r>
        <w:t>Working knowledge of another UN language is an asset</w:t>
      </w:r>
    </w:p>
    <w:p w14:paraId="6C1D25E5" w14:textId="77777777" w:rsidR="00035DF7" w:rsidRPr="00035DF7" w:rsidRDefault="00035DF7" w:rsidP="00035DF7">
      <w:pPr>
        <w:pStyle w:val="ListParagraph"/>
        <w:numPr>
          <w:ilvl w:val="0"/>
          <w:numId w:val="27"/>
        </w:numPr>
      </w:pPr>
      <w:r w:rsidRPr="00035DF7">
        <w:t>Computer skills, including MS Office and Lotus Notes applications</w:t>
      </w:r>
    </w:p>
    <w:p w14:paraId="07A11EA0" w14:textId="21F8388E" w:rsidR="00D919E1" w:rsidRPr="001B71DC" w:rsidRDefault="00D919E1" w:rsidP="00D919E1">
      <w:pPr>
        <w:pStyle w:val="1Heading1"/>
        <w:rPr>
          <w:lang w:val="en-GB"/>
        </w:rPr>
      </w:pPr>
      <w:r w:rsidRPr="001B71DC">
        <w:rPr>
          <w:lang w:val="en-GB"/>
        </w:rPr>
        <w:t>H</w:t>
      </w:r>
      <w:r w:rsidR="009B3AB4">
        <w:rPr>
          <w:lang w:val="en-GB"/>
        </w:rPr>
        <w:t>O</w:t>
      </w:r>
      <w:r w:rsidRPr="001B71DC">
        <w:rPr>
          <w:lang w:val="en-GB"/>
        </w:rPr>
        <w:t>w to Apply</w:t>
      </w:r>
    </w:p>
    <w:p w14:paraId="29D21228" w14:textId="2D3AD5EB" w:rsidR="009B3AB4" w:rsidRDefault="009B3AB4" w:rsidP="00620E9A">
      <w:pPr>
        <w:spacing w:line="240" w:lineRule="auto"/>
      </w:pPr>
      <w:r w:rsidRPr="001B71DC">
        <w:t xml:space="preserve">Qualified candidates are requested to submit CV </w:t>
      </w:r>
      <w:r w:rsidR="00620E9A">
        <w:t xml:space="preserve">and a cover letter indicating </w:t>
      </w:r>
      <w:r w:rsidR="00620E9A" w:rsidRPr="00620E9A">
        <w:t xml:space="preserve">availability (possible starting date) and estimated </w:t>
      </w:r>
      <w:r w:rsidR="00F60371">
        <w:t xml:space="preserve">number of working day with a </w:t>
      </w:r>
      <w:r w:rsidR="00620E9A" w:rsidRPr="00620E9A">
        <w:t>rate per day</w:t>
      </w:r>
      <w:r w:rsidR="00620E9A">
        <w:t xml:space="preserve">, </w:t>
      </w:r>
      <w:r w:rsidRPr="001B71DC">
        <w:t xml:space="preserve">to: </w:t>
      </w:r>
      <w:hyperlink r:id="rId9" w:history="1">
        <w:r w:rsidRPr="009B3AB4">
          <w:t>learning@alliancecpha.org</w:t>
        </w:r>
      </w:hyperlink>
      <w:r w:rsidRPr="001B71DC">
        <w:t>, s</w:t>
      </w:r>
      <w:r w:rsidRPr="009B3AB4">
        <w:t>pecifying as email title: “</w:t>
      </w:r>
      <w:r w:rsidR="006A1D65">
        <w:t xml:space="preserve">Revision of </w:t>
      </w:r>
      <w:r w:rsidR="006A1D65" w:rsidRPr="006A1D65">
        <w:t xml:space="preserve">the </w:t>
      </w:r>
      <w:r w:rsidR="006A1D65">
        <w:t xml:space="preserve">CF </w:t>
      </w:r>
      <w:r w:rsidRPr="001B71DC">
        <w:t>Application_ NAME”</w:t>
      </w:r>
    </w:p>
    <w:p w14:paraId="0D1EA7BD" w14:textId="77777777" w:rsidR="00D556FE" w:rsidRPr="00272DB4" w:rsidRDefault="00D556FE" w:rsidP="00272DB4"/>
    <w:sectPr w:rsidR="00D556FE" w:rsidRPr="00272DB4" w:rsidSect="00E11AE8">
      <w:footerReference w:type="even" r:id="rId10"/>
      <w:footerReference w:type="default" r:id="rId11"/>
      <w:pgSz w:w="12240" w:h="15840"/>
      <w:pgMar w:top="108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CFC8" w14:textId="77777777" w:rsidR="0028434A" w:rsidRDefault="0028434A" w:rsidP="007056C9">
      <w:pPr>
        <w:spacing w:after="0" w:line="240" w:lineRule="auto"/>
      </w:pPr>
      <w:r>
        <w:separator/>
      </w:r>
    </w:p>
  </w:endnote>
  <w:endnote w:type="continuationSeparator" w:id="0">
    <w:p w14:paraId="78786699" w14:textId="77777777" w:rsidR="0028434A" w:rsidRDefault="0028434A"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Times New Roman"/>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Helvetica Neue Medium">
    <w:altName w:val="Arial"/>
    <w:panose1 w:val="020B0604020202020204"/>
    <w:charset w:val="4D"/>
    <w:family w:val="swiss"/>
    <w:pitch w:val="variable"/>
    <w:sig w:usb0="A00002FF" w:usb1="5000205B" w:usb2="00000002"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4356007"/>
      <w:docPartObj>
        <w:docPartGallery w:val="Page Numbers (Bottom of Page)"/>
        <w:docPartUnique/>
      </w:docPartObj>
    </w:sdtPr>
    <w:sdtEndPr>
      <w:rPr>
        <w:rStyle w:val="PageNumber"/>
      </w:rPr>
    </w:sdtEndPr>
    <w:sdtContent>
      <w:p w14:paraId="5D48441A" w14:textId="449499DC"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D948B" w14:textId="77777777" w:rsidR="00D556FE" w:rsidRDefault="00D556FE" w:rsidP="0012288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178B" w14:textId="257588F1" w:rsidR="00D556FE" w:rsidRPr="002C16F2" w:rsidRDefault="00D556FE" w:rsidP="00122885">
    <w:pPr>
      <w:pStyle w:val="Footer"/>
      <w:framePr w:wrap="none" w:vAnchor="text" w:hAnchor="page" w:x="381" w:y="390"/>
      <w:ind w:right="-840"/>
      <w:rPr>
        <w:rStyle w:val="PageNumber"/>
        <w:color w:val="AEAAAA" w:themeColor="background2" w:themeShade="BF"/>
      </w:rPr>
    </w:pPr>
    <w:r w:rsidRPr="002C16F2">
      <w:rPr>
        <w:rStyle w:val="PageNumber"/>
        <w:rFonts w:ascii="Times New Roman" w:hAnsi="Times New Roman"/>
        <w:color w:val="AEAAAA" w:themeColor="background2" w:themeShade="BF"/>
      </w:rPr>
      <w:t xml:space="preserve">Page </w:t>
    </w:r>
    <w:r w:rsidRPr="002C16F2">
      <w:rPr>
        <w:rStyle w:val="PageNumber"/>
        <w:rFonts w:ascii="Times New Roman" w:hAnsi="Times New Roman"/>
        <w:color w:val="AEAAAA" w:themeColor="background2" w:themeShade="BF"/>
      </w:rPr>
      <w:fldChar w:fldCharType="begin"/>
    </w:r>
    <w:r w:rsidRPr="002C16F2">
      <w:rPr>
        <w:rStyle w:val="PageNumber"/>
        <w:rFonts w:ascii="Times New Roman" w:hAnsi="Times New Roman"/>
        <w:color w:val="AEAAAA" w:themeColor="background2" w:themeShade="BF"/>
      </w:rPr>
      <w:instrText xml:space="preserve"> PAGE </w:instrText>
    </w:r>
    <w:r w:rsidRPr="002C16F2">
      <w:rPr>
        <w:rStyle w:val="PageNumber"/>
        <w:rFonts w:ascii="Times New Roman" w:hAnsi="Times New Roman"/>
        <w:color w:val="AEAAAA" w:themeColor="background2" w:themeShade="BF"/>
      </w:rPr>
      <w:fldChar w:fldCharType="separate"/>
    </w:r>
    <w:r w:rsidR="00413A43">
      <w:rPr>
        <w:rStyle w:val="PageNumber"/>
        <w:rFonts w:ascii="Times New Roman" w:hAnsi="Times New Roman"/>
        <w:noProof/>
        <w:color w:val="AEAAAA" w:themeColor="background2" w:themeShade="BF"/>
      </w:rPr>
      <w:t>2</w:t>
    </w:r>
    <w:r w:rsidRPr="002C16F2">
      <w:rPr>
        <w:rStyle w:val="PageNumber"/>
        <w:rFonts w:ascii="Times New Roman" w:hAnsi="Times New Roman"/>
        <w:color w:val="AEAAAA" w:themeColor="background2" w:themeShade="BF"/>
      </w:rPr>
      <w:fldChar w:fldCharType="end"/>
    </w:r>
  </w:p>
  <w:p w14:paraId="2369E9CD" w14:textId="2E33B25D" w:rsidR="00D556FE" w:rsidRPr="002C16F2" w:rsidRDefault="009226CD" w:rsidP="009226CD">
    <w:pPr>
      <w:pStyle w:val="Footer"/>
      <w:ind w:right="-1080"/>
      <w:jc w:val="right"/>
      <w:rPr>
        <w:color w:val="AEAAAA" w:themeColor="background2" w:themeShade="BF"/>
      </w:rPr>
    </w:pPr>
    <w:r>
      <w:rPr>
        <w:rStyle w:val="SubtleReference"/>
        <w:noProof/>
        <w:lang w:val="en-GB" w:eastAsia="en-GB"/>
      </w:rPr>
      <w:drawing>
        <wp:anchor distT="0" distB="0" distL="114300" distR="114300" simplePos="0" relativeHeight="251661312" behindDoc="0" locked="0" layoutInCell="1" allowOverlap="1" wp14:anchorId="3F2109F5" wp14:editId="5F497E30">
          <wp:simplePos x="0" y="0"/>
          <wp:positionH relativeFrom="rightMargin">
            <wp:align>left</wp:align>
          </wp:positionH>
          <wp:positionV relativeFrom="margin">
            <wp:posOffset>8585200</wp:posOffset>
          </wp:positionV>
          <wp:extent cx="431800" cy="431800"/>
          <wp:effectExtent l="0" t="0" r="6350" b="635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6FE" w:rsidRPr="002C16F2">
      <w:rPr>
        <w:noProof/>
        <w:color w:val="AEAAAA" w:themeColor="background2" w:themeShade="BF"/>
        <w:lang w:val="en-GB" w:eastAsia="en-GB"/>
      </w:rPr>
      <w:drawing>
        <wp:anchor distT="0" distB="0" distL="114300" distR="114300" simplePos="0" relativeHeight="251660288" behindDoc="1" locked="0" layoutInCell="1" allowOverlap="1" wp14:anchorId="0C04DA67" wp14:editId="10258490">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B529" w14:textId="77777777" w:rsidR="0028434A" w:rsidRDefault="0028434A" w:rsidP="007056C9">
      <w:pPr>
        <w:spacing w:after="0" w:line="240" w:lineRule="auto"/>
      </w:pPr>
      <w:r>
        <w:separator/>
      </w:r>
    </w:p>
  </w:footnote>
  <w:footnote w:type="continuationSeparator" w:id="0">
    <w:p w14:paraId="6C577AC6" w14:textId="77777777" w:rsidR="0028434A" w:rsidRDefault="0028434A" w:rsidP="007056C9">
      <w:pPr>
        <w:spacing w:after="0" w:line="240" w:lineRule="auto"/>
      </w:pPr>
      <w:r>
        <w:continuationSeparator/>
      </w:r>
    </w:p>
  </w:footnote>
  <w:footnote w:id="1">
    <w:p w14:paraId="35432131" w14:textId="14D867BA" w:rsidR="004F5AD0" w:rsidRPr="004F5AD0" w:rsidRDefault="004F5AD0">
      <w:pPr>
        <w:pStyle w:val="FootnoteText"/>
        <w:rPr>
          <w:lang w:val="fr-FR"/>
        </w:rPr>
      </w:pPr>
      <w:r>
        <w:rPr>
          <w:rStyle w:val="FootnoteReference"/>
        </w:rPr>
        <w:footnoteRef/>
      </w:r>
      <w:r>
        <w:t xml:space="preserve"> </w:t>
      </w:r>
      <w:r w:rsidRPr="004F5AD0">
        <w:t>https://alliancecpha.org/en/system/tdf/library/attachments/2019_cpha_competency_framework_testing_version_lowres_2.pdf?file=1&amp;type=node&amp;id=33387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4673FB"/>
    <w:multiLevelType w:val="hybridMultilevel"/>
    <w:tmpl w:val="507AAE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C80DFB"/>
    <w:multiLevelType w:val="multilevel"/>
    <w:tmpl w:val="CF6E4D16"/>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2851E4"/>
    <w:multiLevelType w:val="hybridMultilevel"/>
    <w:tmpl w:val="CEE85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FD38E7"/>
    <w:multiLevelType w:val="hybridMultilevel"/>
    <w:tmpl w:val="6E763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3D4446"/>
    <w:multiLevelType w:val="hybridMultilevel"/>
    <w:tmpl w:val="6224815C"/>
    <w:lvl w:ilvl="0" w:tplc="1CCABBFC">
      <w:numFmt w:val="bullet"/>
      <w:lvlText w:val="-"/>
      <w:lvlJc w:val="left"/>
      <w:pPr>
        <w:ind w:left="720" w:hanging="360"/>
      </w:pPr>
      <w:rPr>
        <w:rFonts w:ascii="Helvetica Neue Light" w:eastAsiaTheme="minorEastAsia" w:hAnsi="Helvetica Neue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77042"/>
    <w:multiLevelType w:val="hybridMultilevel"/>
    <w:tmpl w:val="EC089B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277547"/>
    <w:multiLevelType w:val="hybridMultilevel"/>
    <w:tmpl w:val="D2F6C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35267"/>
    <w:multiLevelType w:val="hybridMultilevel"/>
    <w:tmpl w:val="0B18E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E835E5"/>
    <w:multiLevelType w:val="hybridMultilevel"/>
    <w:tmpl w:val="BB1800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023D7"/>
    <w:multiLevelType w:val="hybridMultilevel"/>
    <w:tmpl w:val="32705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DC69E0"/>
    <w:multiLevelType w:val="hybridMultilevel"/>
    <w:tmpl w:val="65CA611C"/>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0" w15:restartNumberingAfterBreak="0">
    <w:nsid w:val="4271298F"/>
    <w:multiLevelType w:val="hybridMultilevel"/>
    <w:tmpl w:val="EE887E36"/>
    <w:lvl w:ilvl="0" w:tplc="464A147A">
      <w:start w:val="1"/>
      <w:numFmt w:val="bullet"/>
      <w:lvlText w:val="-"/>
      <w:lvlJc w:val="left"/>
      <w:pPr>
        <w:ind w:left="720" w:hanging="360"/>
      </w:pPr>
      <w:rPr>
        <w:rFonts w:ascii="Arial Nova Light" w:eastAsiaTheme="minorHAnsi" w:hAnsi="Arial Nova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80B16"/>
    <w:multiLevelType w:val="hybridMultilevel"/>
    <w:tmpl w:val="DDB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33BFD"/>
    <w:multiLevelType w:val="hybridMultilevel"/>
    <w:tmpl w:val="71067FC2"/>
    <w:lvl w:ilvl="0" w:tplc="A53A26B6">
      <w:start w:val="1"/>
      <w:numFmt w:val="decimal"/>
      <w:pStyle w:val="NumberedList"/>
      <w:lvlText w:val="%1."/>
      <w:lvlJc w:val="left"/>
      <w:pPr>
        <w:ind w:left="72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270D05"/>
    <w:multiLevelType w:val="hybridMultilevel"/>
    <w:tmpl w:val="5FF0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94621"/>
    <w:multiLevelType w:val="hybridMultilevel"/>
    <w:tmpl w:val="32543F36"/>
    <w:lvl w:ilvl="0" w:tplc="0C09000D">
      <w:start w:val="1"/>
      <w:numFmt w:val="bullet"/>
      <w:lvlText w:val=""/>
      <w:lvlJc w:val="left"/>
      <w:pPr>
        <w:ind w:left="810" w:hanging="360"/>
      </w:pPr>
      <w:rPr>
        <w:rFonts w:ascii="Wingdings" w:hAnsi="Wingdings"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7" w15:restartNumberingAfterBreak="0">
    <w:nsid w:val="77EF5847"/>
    <w:multiLevelType w:val="hybridMultilevel"/>
    <w:tmpl w:val="A8CAC6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7D573F"/>
    <w:multiLevelType w:val="hybridMultilevel"/>
    <w:tmpl w:val="C02271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23"/>
  </w:num>
  <w:num w:numId="8">
    <w:abstractNumId w:val="8"/>
  </w:num>
  <w:num w:numId="9">
    <w:abstractNumId w:val="16"/>
  </w:num>
  <w:num w:numId="10">
    <w:abstractNumId w:val="24"/>
  </w:num>
  <w:num w:numId="11">
    <w:abstractNumId w:val="17"/>
  </w:num>
  <w:num w:numId="12">
    <w:abstractNumId w:val="22"/>
  </w:num>
  <w:num w:numId="13">
    <w:abstractNumId w:val="7"/>
  </w:num>
  <w:num w:numId="14">
    <w:abstractNumId w:val="14"/>
  </w:num>
  <w:num w:numId="15">
    <w:abstractNumId w:val="15"/>
  </w:num>
  <w:num w:numId="16">
    <w:abstractNumId w:val="19"/>
  </w:num>
  <w:num w:numId="17">
    <w:abstractNumId w:val="18"/>
  </w:num>
  <w:num w:numId="18">
    <w:abstractNumId w:val="12"/>
  </w:num>
  <w:num w:numId="19">
    <w:abstractNumId w:val="13"/>
  </w:num>
  <w:num w:numId="20">
    <w:abstractNumId w:val="9"/>
  </w:num>
  <w:num w:numId="21">
    <w:abstractNumId w:val="28"/>
  </w:num>
  <w:num w:numId="22">
    <w:abstractNumId w:val="12"/>
  </w:num>
  <w:num w:numId="23">
    <w:abstractNumId w:val="26"/>
  </w:num>
  <w:num w:numId="24">
    <w:abstractNumId w:val="6"/>
  </w:num>
  <w:num w:numId="25">
    <w:abstractNumId w:val="21"/>
  </w:num>
  <w:num w:numId="26">
    <w:abstractNumId w:val="10"/>
  </w:num>
  <w:num w:numId="27">
    <w:abstractNumId w:val="25"/>
  </w:num>
  <w:num w:numId="28">
    <w:abstractNumId w:val="27"/>
  </w:num>
  <w:num w:numId="29">
    <w:abstractNumId w:val="20"/>
  </w:num>
  <w:num w:numId="3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87"/>
    <w:rsid w:val="00035DF7"/>
    <w:rsid w:val="0004041A"/>
    <w:rsid w:val="000431A4"/>
    <w:rsid w:val="00043DF4"/>
    <w:rsid w:val="00045ECC"/>
    <w:rsid w:val="000551C1"/>
    <w:rsid w:val="00070047"/>
    <w:rsid w:val="00071860"/>
    <w:rsid w:val="00072FD8"/>
    <w:rsid w:val="000815D8"/>
    <w:rsid w:val="00082F94"/>
    <w:rsid w:val="000C4632"/>
    <w:rsid w:val="000F3B80"/>
    <w:rsid w:val="000F4FEB"/>
    <w:rsid w:val="00102367"/>
    <w:rsid w:val="001162ED"/>
    <w:rsid w:val="00122885"/>
    <w:rsid w:val="00150EC2"/>
    <w:rsid w:val="0015171F"/>
    <w:rsid w:val="00167184"/>
    <w:rsid w:val="0017581E"/>
    <w:rsid w:val="00176707"/>
    <w:rsid w:val="001D0CC2"/>
    <w:rsid w:val="001E1507"/>
    <w:rsid w:val="001E3A9E"/>
    <w:rsid w:val="001E7894"/>
    <w:rsid w:val="001F11E3"/>
    <w:rsid w:val="001F2B48"/>
    <w:rsid w:val="00200E93"/>
    <w:rsid w:val="00221051"/>
    <w:rsid w:val="00227597"/>
    <w:rsid w:val="0024593E"/>
    <w:rsid w:val="00264B8C"/>
    <w:rsid w:val="002710C1"/>
    <w:rsid w:val="00272DB4"/>
    <w:rsid w:val="0028434A"/>
    <w:rsid w:val="00296647"/>
    <w:rsid w:val="002B7106"/>
    <w:rsid w:val="002C16F2"/>
    <w:rsid w:val="002C55BC"/>
    <w:rsid w:val="003125E1"/>
    <w:rsid w:val="0031503F"/>
    <w:rsid w:val="0031555B"/>
    <w:rsid w:val="00332C25"/>
    <w:rsid w:val="0033320B"/>
    <w:rsid w:val="00335E68"/>
    <w:rsid w:val="003724EC"/>
    <w:rsid w:val="0038071B"/>
    <w:rsid w:val="003A6165"/>
    <w:rsid w:val="003B184F"/>
    <w:rsid w:val="003D4F7E"/>
    <w:rsid w:val="003D684C"/>
    <w:rsid w:val="003D713C"/>
    <w:rsid w:val="003E3C90"/>
    <w:rsid w:val="003F19A0"/>
    <w:rsid w:val="00413A43"/>
    <w:rsid w:val="00467B3C"/>
    <w:rsid w:val="00481F23"/>
    <w:rsid w:val="0048441D"/>
    <w:rsid w:val="0048645E"/>
    <w:rsid w:val="004C3118"/>
    <w:rsid w:val="004D5499"/>
    <w:rsid w:val="004E50CD"/>
    <w:rsid w:val="004F5AD0"/>
    <w:rsid w:val="004F7CEE"/>
    <w:rsid w:val="00513BFC"/>
    <w:rsid w:val="00523853"/>
    <w:rsid w:val="005265F0"/>
    <w:rsid w:val="005B5109"/>
    <w:rsid w:val="005C243B"/>
    <w:rsid w:val="005D6752"/>
    <w:rsid w:val="005F203E"/>
    <w:rsid w:val="005F6175"/>
    <w:rsid w:val="0060646B"/>
    <w:rsid w:val="00620E9A"/>
    <w:rsid w:val="006223A4"/>
    <w:rsid w:val="006269A6"/>
    <w:rsid w:val="0062766C"/>
    <w:rsid w:val="006901CE"/>
    <w:rsid w:val="00693399"/>
    <w:rsid w:val="0069743B"/>
    <w:rsid w:val="006A1D65"/>
    <w:rsid w:val="006A61C9"/>
    <w:rsid w:val="006A77BF"/>
    <w:rsid w:val="007056C9"/>
    <w:rsid w:val="00711CD7"/>
    <w:rsid w:val="007225B3"/>
    <w:rsid w:val="00722D49"/>
    <w:rsid w:val="00730614"/>
    <w:rsid w:val="0074643B"/>
    <w:rsid w:val="00763989"/>
    <w:rsid w:val="00772A49"/>
    <w:rsid w:val="00772FD2"/>
    <w:rsid w:val="00775183"/>
    <w:rsid w:val="007A1A42"/>
    <w:rsid w:val="007C6D87"/>
    <w:rsid w:val="007D39C1"/>
    <w:rsid w:val="007D4390"/>
    <w:rsid w:val="007D6403"/>
    <w:rsid w:val="007D6E94"/>
    <w:rsid w:val="007E13FA"/>
    <w:rsid w:val="007F069B"/>
    <w:rsid w:val="007F6E97"/>
    <w:rsid w:val="00802017"/>
    <w:rsid w:val="00815BA9"/>
    <w:rsid w:val="0082036E"/>
    <w:rsid w:val="00844EA1"/>
    <w:rsid w:val="00851EEF"/>
    <w:rsid w:val="00871A58"/>
    <w:rsid w:val="00887D8B"/>
    <w:rsid w:val="008906EC"/>
    <w:rsid w:val="00892E12"/>
    <w:rsid w:val="00895098"/>
    <w:rsid w:val="00897106"/>
    <w:rsid w:val="008B462C"/>
    <w:rsid w:val="008C1B1B"/>
    <w:rsid w:val="008E32B3"/>
    <w:rsid w:val="008F1B5D"/>
    <w:rsid w:val="00907886"/>
    <w:rsid w:val="009226CD"/>
    <w:rsid w:val="00925916"/>
    <w:rsid w:val="009262C9"/>
    <w:rsid w:val="00932080"/>
    <w:rsid w:val="00935197"/>
    <w:rsid w:val="00955FE1"/>
    <w:rsid w:val="009602C9"/>
    <w:rsid w:val="009626FF"/>
    <w:rsid w:val="00991DC3"/>
    <w:rsid w:val="009A2600"/>
    <w:rsid w:val="009A4709"/>
    <w:rsid w:val="009B3AB4"/>
    <w:rsid w:val="009C7619"/>
    <w:rsid w:val="009F0410"/>
    <w:rsid w:val="00A16EC4"/>
    <w:rsid w:val="00A341D9"/>
    <w:rsid w:val="00A443F4"/>
    <w:rsid w:val="00A8236D"/>
    <w:rsid w:val="00A8663C"/>
    <w:rsid w:val="00AA76E1"/>
    <w:rsid w:val="00AD5E0F"/>
    <w:rsid w:val="00AD6C6D"/>
    <w:rsid w:val="00AE00C8"/>
    <w:rsid w:val="00B04DA4"/>
    <w:rsid w:val="00B1716F"/>
    <w:rsid w:val="00B461A2"/>
    <w:rsid w:val="00B4785C"/>
    <w:rsid w:val="00B53841"/>
    <w:rsid w:val="00B60796"/>
    <w:rsid w:val="00B6340C"/>
    <w:rsid w:val="00B71066"/>
    <w:rsid w:val="00B73895"/>
    <w:rsid w:val="00BB6AB0"/>
    <w:rsid w:val="00BF0FE6"/>
    <w:rsid w:val="00BF46B5"/>
    <w:rsid w:val="00C0538F"/>
    <w:rsid w:val="00C2187C"/>
    <w:rsid w:val="00C44085"/>
    <w:rsid w:val="00C719CF"/>
    <w:rsid w:val="00C8203B"/>
    <w:rsid w:val="00C93BE2"/>
    <w:rsid w:val="00C96D28"/>
    <w:rsid w:val="00CC3DE3"/>
    <w:rsid w:val="00CC5D8B"/>
    <w:rsid w:val="00CF22CF"/>
    <w:rsid w:val="00CF54C4"/>
    <w:rsid w:val="00CF6C0F"/>
    <w:rsid w:val="00D02E92"/>
    <w:rsid w:val="00D1316D"/>
    <w:rsid w:val="00D52BFC"/>
    <w:rsid w:val="00D53F8C"/>
    <w:rsid w:val="00D556FE"/>
    <w:rsid w:val="00D56360"/>
    <w:rsid w:val="00D62E41"/>
    <w:rsid w:val="00D778C3"/>
    <w:rsid w:val="00D847BF"/>
    <w:rsid w:val="00D919E1"/>
    <w:rsid w:val="00D91FB8"/>
    <w:rsid w:val="00D95FA5"/>
    <w:rsid w:val="00DA75AC"/>
    <w:rsid w:val="00DB318A"/>
    <w:rsid w:val="00DC0276"/>
    <w:rsid w:val="00DC1BDA"/>
    <w:rsid w:val="00DC53DB"/>
    <w:rsid w:val="00DD0F5B"/>
    <w:rsid w:val="00DD30FA"/>
    <w:rsid w:val="00DE4B95"/>
    <w:rsid w:val="00DF0E72"/>
    <w:rsid w:val="00DF2776"/>
    <w:rsid w:val="00E0506C"/>
    <w:rsid w:val="00E11AE8"/>
    <w:rsid w:val="00E234E3"/>
    <w:rsid w:val="00E3673A"/>
    <w:rsid w:val="00E54B53"/>
    <w:rsid w:val="00E64495"/>
    <w:rsid w:val="00E936D1"/>
    <w:rsid w:val="00EA183C"/>
    <w:rsid w:val="00EA546B"/>
    <w:rsid w:val="00EB3B72"/>
    <w:rsid w:val="00EC768B"/>
    <w:rsid w:val="00EE2415"/>
    <w:rsid w:val="00EF06A8"/>
    <w:rsid w:val="00F160DB"/>
    <w:rsid w:val="00F35795"/>
    <w:rsid w:val="00F434A0"/>
    <w:rsid w:val="00F51DDE"/>
    <w:rsid w:val="00F60371"/>
    <w:rsid w:val="00F60686"/>
    <w:rsid w:val="00F66C4E"/>
    <w:rsid w:val="00FA035F"/>
    <w:rsid w:val="00FB3AD8"/>
    <w:rsid w:val="00FB4CB9"/>
    <w:rsid w:val="00FD00E0"/>
    <w:rsid w:val="00FD0106"/>
    <w:rsid w:val="00FD2DD3"/>
    <w:rsid w:val="00FE3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8DBB"/>
  <w14:defaultImageDpi w14:val="32767"/>
  <w15:chartTrackingRefBased/>
  <w15:docId w15:val="{50DB25B8-9FE3-4317-ABC3-5915065C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EE2415"/>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EE2415"/>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DF2776"/>
    <w:pPr>
      <w:keepNext/>
      <w:keepLines/>
      <w:spacing w:before="120" w:after="120" w:line="240" w:lineRule="auto"/>
      <w:jc w:val="center"/>
      <w:outlineLvl w:val="4"/>
    </w:pPr>
    <w:rPr>
      <w:rFonts w:ascii="Helvetica Neue" w:eastAsiaTheme="majorEastAsia" w:hAnsi="Helvetica Neue" w:cs="Times New Roman (Headings CS)"/>
      <w:color w:val="FFFFFF" w:themeColor="background1"/>
      <w:sz w:val="28"/>
      <w:szCs w:val="28"/>
    </w:rPr>
  </w:style>
  <w:style w:type="paragraph" w:styleId="Heading6">
    <w:name w:val="heading 6"/>
    <w:aliases w:val="Table Sub Heading"/>
    <w:basedOn w:val="Normal"/>
    <w:next w:val="Normal"/>
    <w:link w:val="Heading6Char"/>
    <w:uiPriority w:val="9"/>
    <w:unhideWhenUsed/>
    <w:qFormat/>
    <w:rsid w:val="00DF2776"/>
    <w:pPr>
      <w:keepNext/>
      <w:keepLines/>
      <w:spacing w:before="200" w:after="0" w:line="240" w:lineRule="auto"/>
      <w:outlineLvl w:val="5"/>
    </w:pPr>
    <w:rPr>
      <w:rFonts w:asciiTheme="majorHAnsi" w:eastAsiaTheme="majorEastAsia" w:hAnsiTheme="majorHAnsi" w:cstheme="majorHAnsi"/>
      <w:i/>
      <w:iCs/>
      <w:color w:val="FFFFFF" w:themeColor="background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15"/>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EE2415"/>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DF2776"/>
    <w:rPr>
      <w:rFonts w:ascii="Helvetica Neue" w:eastAsiaTheme="majorEastAsia" w:hAnsi="Helvetica Neue" w:cs="Times New Roman (Headings CS)"/>
      <w:color w:val="FFFFFF" w:themeColor="background1"/>
      <w:sz w:val="28"/>
      <w:szCs w:val="28"/>
    </w:rPr>
  </w:style>
  <w:style w:type="character" w:customStyle="1" w:styleId="Heading6Char">
    <w:name w:val="Heading 6 Char"/>
    <w:aliases w:val="Table Sub Heading Char"/>
    <w:basedOn w:val="DefaultParagraphFont"/>
    <w:link w:val="Heading6"/>
    <w:uiPriority w:val="9"/>
    <w:rsid w:val="00DF2776"/>
    <w:rPr>
      <w:rFonts w:asciiTheme="majorHAnsi" w:eastAsiaTheme="majorEastAsia" w:hAnsiTheme="majorHAnsi" w:cstheme="majorHAnsi"/>
      <w:i/>
      <w:iCs/>
      <w:color w:val="FFFFFF" w:themeColor="background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aliases w:val="List Paragraph (numbered (a))"/>
    <w:basedOn w:val="Normal"/>
    <w:link w:val="ListParagraphChar"/>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Mentionnonrsolue1">
    <w:name w:val="Mention non résolue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5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Lienhypertexteactif1">
    <w:name w:val="Lien hypertexte actif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F54C4"/>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32C2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332C25"/>
    <w:pPr>
      <w:spacing w:after="0"/>
      <w:ind w:left="1100"/>
    </w:pPr>
    <w:rPr>
      <w:rFonts w:asciiTheme="minorHAnsi" w:hAnsiTheme="minorHAnsi"/>
      <w:sz w:val="18"/>
      <w:szCs w:val="18"/>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BB6AB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BB6AB0"/>
    <w:pPr>
      <w:spacing w:after="0"/>
      <w:ind w:left="1760"/>
    </w:pPr>
    <w:rPr>
      <w:rFonts w:asciiTheme="minorHAnsi" w:hAnsiTheme="minorHAnsi"/>
      <w:sz w:val="18"/>
      <w:szCs w:val="18"/>
    </w:rPr>
  </w:style>
  <w:style w:type="paragraph" w:styleId="BlockText">
    <w:name w:val="Block Text"/>
    <w:basedOn w:val="Normal"/>
    <w:uiPriority w:val="99"/>
    <w:unhideWhenUsed/>
    <w:qFormat/>
    <w:rsid w:val="00EB3B72"/>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EE2415"/>
    <w:pPr>
      <w:numPr>
        <w:numId w:val="13"/>
      </w:numPr>
    </w:pPr>
  </w:style>
  <w:style w:type="paragraph" w:styleId="List">
    <w:name w:val="List"/>
    <w:basedOn w:val="Normal"/>
    <w:uiPriority w:val="99"/>
    <w:unhideWhenUsed/>
    <w:rsid w:val="0038071B"/>
    <w:pPr>
      <w:ind w:left="360" w:hanging="360"/>
      <w:contextualSpacing/>
    </w:pPr>
  </w:style>
  <w:style w:type="character" w:customStyle="1" w:styleId="ListParagraphChar">
    <w:name w:val="List Paragraph Char"/>
    <w:aliases w:val="List Paragraph (numbered (a)) Char"/>
    <w:link w:val="ListParagraph"/>
    <w:uiPriority w:val="34"/>
    <w:rsid w:val="00815BA9"/>
    <w:rPr>
      <w:rFonts w:ascii="Helvetica Neue Light" w:hAnsi="Helvetica Neue Light"/>
    </w:rPr>
  </w:style>
  <w:style w:type="character" w:customStyle="1" w:styleId="Lgende1">
    <w:name w:val="Légende1"/>
    <w:basedOn w:val="DefaultParagraphFont"/>
    <w:rsid w:val="00AD5E0F"/>
  </w:style>
  <w:style w:type="paragraph" w:styleId="BalloonText">
    <w:name w:val="Balloon Text"/>
    <w:basedOn w:val="Normal"/>
    <w:link w:val="BalloonTextChar"/>
    <w:uiPriority w:val="99"/>
    <w:semiHidden/>
    <w:unhideWhenUsed/>
    <w:rsid w:val="0022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7597"/>
    <w:pPr>
      <w:spacing w:after="200"/>
    </w:pPr>
    <w:rPr>
      <w:b/>
      <w:bCs/>
    </w:rPr>
  </w:style>
  <w:style w:type="character" w:customStyle="1" w:styleId="CommentSubjectChar">
    <w:name w:val="Comment Subject Char"/>
    <w:basedOn w:val="CommentTextChar"/>
    <w:link w:val="CommentSubject"/>
    <w:uiPriority w:val="99"/>
    <w:semiHidden/>
    <w:rsid w:val="00227597"/>
    <w:rPr>
      <w:rFonts w:ascii="Helvetica Neue Light" w:hAnsi="Helvetica Neue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64140">
      <w:bodyDiv w:val="1"/>
      <w:marLeft w:val="0"/>
      <w:marRight w:val="0"/>
      <w:marTop w:val="0"/>
      <w:marBottom w:val="0"/>
      <w:divBdr>
        <w:top w:val="none" w:sz="0" w:space="0" w:color="auto"/>
        <w:left w:val="none" w:sz="0" w:space="0" w:color="auto"/>
        <w:bottom w:val="none" w:sz="0" w:space="0" w:color="auto"/>
        <w:right w:val="none" w:sz="0" w:space="0" w:color="auto"/>
      </w:divBdr>
      <w:divsChild>
        <w:div w:id="1886867404">
          <w:marLeft w:val="0"/>
          <w:marRight w:val="0"/>
          <w:marTop w:val="0"/>
          <w:marBottom w:val="0"/>
          <w:divBdr>
            <w:top w:val="none" w:sz="0" w:space="0" w:color="auto"/>
            <w:left w:val="none" w:sz="0" w:space="0" w:color="auto"/>
            <w:bottom w:val="none" w:sz="0" w:space="0" w:color="auto"/>
            <w:right w:val="none" w:sz="0" w:space="0" w:color="auto"/>
          </w:divBdr>
        </w:div>
        <w:div w:id="1887908108">
          <w:marLeft w:val="0"/>
          <w:marRight w:val="0"/>
          <w:marTop w:val="0"/>
          <w:marBottom w:val="0"/>
          <w:divBdr>
            <w:top w:val="none" w:sz="0" w:space="0" w:color="auto"/>
            <w:left w:val="none" w:sz="0" w:space="0" w:color="auto"/>
            <w:bottom w:val="none" w:sz="0" w:space="0" w:color="auto"/>
            <w:right w:val="none" w:sz="0" w:space="0" w:color="auto"/>
          </w:divBdr>
        </w:div>
        <w:div w:id="563952986">
          <w:marLeft w:val="0"/>
          <w:marRight w:val="0"/>
          <w:marTop w:val="0"/>
          <w:marBottom w:val="0"/>
          <w:divBdr>
            <w:top w:val="none" w:sz="0" w:space="0" w:color="auto"/>
            <w:left w:val="none" w:sz="0" w:space="0" w:color="auto"/>
            <w:bottom w:val="none" w:sz="0" w:space="0" w:color="auto"/>
            <w:right w:val="none" w:sz="0" w:space="0" w:color="auto"/>
          </w:divBdr>
        </w:div>
      </w:divsChild>
    </w:div>
    <w:div w:id="21461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rning@alliancecpha.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CAB3-676B-2244-A359-0FD5DCFA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3524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Affari Project</dc:creator>
  <cp:keywords/>
  <dc:description/>
  <cp:lastModifiedBy>Sara Bertrand</cp:lastModifiedBy>
  <cp:revision>6</cp:revision>
  <dcterms:created xsi:type="dcterms:W3CDTF">2019-09-03T10:24:00Z</dcterms:created>
  <dcterms:modified xsi:type="dcterms:W3CDTF">2019-09-03T11:27:00Z</dcterms:modified>
</cp:coreProperties>
</file>